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FFFFFF"/>
                <w:sz w:val="28"/>
                <w:szCs w:val="28"/>
              </w:rPr>
              <w:t xml:space="preserve">FICHE DE DÉROULEMENT DE SÉANCE</w:t>
            </w:r>
          </w:p>
          <w:p>
            <w:pPr>
              <w:spacing w:after="0" w:before="0"/>
              <w:jc w:val="left"/>
            </w:pPr>
            <w:r>
              <w:rPr>
                <w:rFonts w:ascii="Arial" w:cs="Arial" w:eastAsia="Arial" w:hAnsi="Arial"/>
                <w:b w:val="false"/>
                <w:bCs w:val="false"/>
                <w:i w:val="false"/>
                <w:iCs w:val="false"/>
                <w:color w:val="c4b5fd"/>
                <w:sz w:val="20"/>
                <w:szCs w:val="20"/>
              </w:rPr>
              <w:t xml:space="preserve">SNT Seconde   |   Internet   |   Le protocole TCP/IP et les paquets</w:t>
            </w:r>
          </w:p>
        </w:tc>
      </w:tr>
    </w:tbl>
    <w:p>
      <w:pPr>
        <w:spacing w:after="120" w:before="260"/>
      </w:pPr>
      <w:r>
        <w:rPr>
          <w:rFonts w:ascii="Arial" w:cs="Arial" w:eastAsia="Arial" w:hAnsi="Arial"/>
          <w:b/>
          <w:bCs/>
          <w:i w:val="false"/>
          <w:iCs w:val="false"/>
          <w:color w:val="8b5cf6"/>
          <w:sz w:val="22"/>
          <w:szCs w:val="22"/>
        </w:rPr>
        <w:t xml:space="preserve">INFORMATIONS GÉNÉRALES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2012"/>
        <w:gridCol w:w="1500"/>
        <w:gridCol w:w="2012"/>
        <w:gridCol w:w="1000"/>
        <w:gridCol w:w="2442"/>
      </w:tblGrid>
      <w:tr>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Niveau</w:t>
            </w:r>
          </w:p>
        </w:tc>
        <w:tc>
          <w:tcPr>
            <w:tcW w:type="dxa" w:w="201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SNT Seconde</w:t>
            </w:r>
          </w:p>
        </w:tc>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Classe</w:t>
            </w:r>
          </w:p>
        </w:tc>
        <w:tc>
          <w:tcPr>
            <w:tcW w:type="dxa" w:w="201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w:r>
          </w:p>
        </w:tc>
        <w:tc>
          <w:tcPr>
            <w:tcW w:type="dxa" w:w="1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Date</w:t>
            </w:r>
          </w:p>
        </w:tc>
        <w:tc>
          <w:tcPr>
            <w:tcW w:type="dxa" w:w="244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w:r>
          </w:p>
        </w:tc>
      </w:tr>
      <w:tr>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Durée</w:t>
            </w:r>
          </w:p>
        </w:tc>
        <w:tc>
          <w:tcPr>
            <w:tcW w:type="dxa" w:w="201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1h30</w:t>
            </w:r>
          </w:p>
        </w:tc>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Séance</w:t>
            </w:r>
          </w:p>
        </w:tc>
        <w:tc>
          <w:tcPr>
            <w:tcW w:type="dxa" w:w="201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3 / 5</w:t>
            </w:r>
          </w:p>
        </w:tc>
        <w:tc>
          <w:tcPr>
            <w:tcW w:type="dxa" w:w="1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Effectif</w:t>
            </w:r>
          </w:p>
        </w:tc>
        <w:tc>
          <w:tcPr>
            <w:tcW w:type="dxa" w:w="244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8966"/>
      </w:tblGrid>
      <w:tr>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Séquence</w:t>
            </w:r>
          </w:p>
        </w:tc>
        <w:tc>
          <w:tcPr>
            <w:tcW w:type="dxa" w:w="8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Internet — Le protocole TCP/IP et les paquets</w:t>
            </w:r>
          </w:p>
        </w:tc>
      </w:tr>
      <w:tr>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Note de planification</w:t>
            </w:r>
          </w:p>
        </w:tc>
        <w:tc>
          <w:tcPr>
            <w:tcW w:type="dxa" w:w="8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tc>
      </w:tr>
    </w:tbl>
    <w:p>
      <w:pPr>
        <w:spacing w:after="120" w:before="260"/>
      </w:pPr>
      <w:r>
        <w:rPr>
          <w:rFonts w:ascii="Arial" w:cs="Arial" w:eastAsia="Arial" w:hAnsi="Arial"/>
          <w:b/>
          <w:bCs/>
          <w:i w:val="false"/>
          <w:iCs w:val="false"/>
          <w:color w:val="8b5cf6"/>
          <w:sz w:val="22"/>
          <w:szCs w:val="22"/>
        </w:rPr>
        <w:t xml:space="preserve">OBJECTIFS, SUPPORT ET MATÉRIEL</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000"/>
        <w:gridCol w:w="8466"/>
      </w:tblGrid>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Capacités visées</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val="false"/>
                <w:iCs w:val="false"/>
                <w:color w:val="334155"/>
                <w:sz w:val="19"/>
                <w:szCs w:val="19"/>
              </w:rPr>
              <w:t xml:space="preserve">Distinguer le rôle du protocole IP de celui du protocole TCP</w:t>
            </w:r>
          </w:p>
          <w:p>
            <w:pPr>
              <w:spacing w:after="30" w:before="0"/>
              <w:jc w:val="left"/>
            </w:pPr>
            <w:r>
              <w:rPr>
                <w:rFonts w:ascii="Arial" w:cs="Arial" w:eastAsia="Arial" w:hAnsi="Arial"/>
                <w:b w:val="false"/>
                <w:bCs w:val="false"/>
                <w:i w:val="false"/>
                <w:iCs w:val="false"/>
                <w:color w:val="334155"/>
                <w:sz w:val="19"/>
                <w:szCs w:val="19"/>
              </w:rPr>
              <w:t xml:space="preserve">Caractériser les principes du routage et ses limites</w:t>
            </w:r>
          </w:p>
          <w:p>
            <w:pPr>
              <w:spacing w:after="30" w:before="0"/>
              <w:jc w:val="left"/>
            </w:pPr>
            <w:r>
              <w:rPr>
                <w:rFonts w:ascii="Arial" w:cs="Arial" w:eastAsia="Arial" w:hAnsi="Arial"/>
                <w:b w:val="false"/>
                <w:bCs w:val="false"/>
                <w:i w:val="false"/>
                <w:iCs w:val="false"/>
                <w:color w:val="334155"/>
                <w:sz w:val="19"/>
                <w:szCs w:val="19"/>
              </w:rPr>
              <w:t xml:space="preserve">Expliquer le rôle du TTL et la destruction d’un paquet en cours de route</w:t>
            </w:r>
          </w:p>
          <w:p>
            <w:pPr>
              <w:spacing w:after="30" w:before="0"/>
              <w:jc w:val="left"/>
            </w:pPr>
            <w:r>
              <w:rPr>
                <w:rFonts w:ascii="Arial" w:cs="Arial" w:eastAsia="Arial" w:hAnsi="Arial"/>
                <w:b w:val="false"/>
                <w:bCs w:val="false"/>
                <w:i w:val="false"/>
                <w:iCs w:val="false"/>
                <w:color w:val="334155"/>
                <w:sz w:val="19"/>
                <w:szCs w:val="19"/>
              </w:rPr>
              <w:t xml:space="preserve">Distinguer la fiabilité de transmission de l’absence de garantie temporelle</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Support</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Article en ligne : monprofdetechnologie.fr/snt/internet/protocole-tcp-ip</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Matériel</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1 ordinateur par élève (idéal) — 1 ordinateur par groupe (minimum) — accès Internet — 26 bandes de papier découpées à l’avance</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Vidéo</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Vidéo de présentation du routage des paquets, intégrée à la page élève</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À préparer</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Imprimer et découper le document « Bandes à découper ». Retirer MSG-B 03/05 et MSG-D 02/05, et les garder en main pendant la séance.</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Prérequis</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Séances 1 et 2 du thème : commutation de paquets, adresses IP et résolution DNS.</w:t>
            </w:r>
          </w:p>
        </w:tc>
      </w:tr>
    </w:tbl>
    <w:p>
      <w:pPr>
        <w:spacing w:after="120" w:before="260"/>
      </w:pPr>
      <w:r>
        <w:rPr>
          <w:rFonts w:ascii="Arial" w:cs="Arial" w:eastAsia="Arial" w:hAnsi="Arial"/>
          <w:b/>
          <w:bCs/>
          <w:i w:val="false"/>
          <w:iCs w:val="false"/>
          <w:color w:val="8b5cf6"/>
          <w:sz w:val="22"/>
          <w:szCs w:val="22"/>
        </w:rPr>
        <w:t xml:space="preserve">COMPÉTENCES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00"/>
        <w:gridCol w:w="3966"/>
        <w:gridCol w:w="1500"/>
      </w:tblGrid>
      <w:tr>
        <w:tc>
          <w:tcPr>
            <w:tcW w:type="dxa" w:w="5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Capacité attendue</w:t>
            </w:r>
          </w:p>
        </w:tc>
        <w:tc>
          <w:tcPr>
            <w:tcW w:type="dxa" w:w="39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Référence programme</w:t>
            </w:r>
          </w:p>
        </w:tc>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Évaluation</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Distinguer le rôle des protocoles IP et TCP</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Programme SNT — Protocole TCP/IP : paquets, routage</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Activité 1</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Caractériser les principes du routage et ses limites</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Programme SNT — Les algorithmes et les programmes</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Activités 2 et 3</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Distinguer la fiabilité de transmission et l’absence de garantie temporelle</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Programme SNT — Protocole TCP/IP</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Trace écrite et quiz</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Illustrer le fonctionnement du routage et de TCP par une activité débranchée, en tenant compte de la destruction de paquets</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Programme SNT — Exemples d’activités</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Activité 1</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Produire une trace écrite structurée à partir d’activités de recherche</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Compétences transversales</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Production — PDF</w:t>
            </w:r>
          </w:p>
        </w:tc>
      </w:tr>
    </w:tbl>
    <w:p>
      <w:pPr>
        <w:spacing w:after="120" w:before="260"/>
      </w:pPr>
      <w:r>
        <w:rPr>
          <w:rFonts w:ascii="Arial" w:cs="Arial" w:eastAsia="Arial" w:hAnsi="Arial"/>
          <w:b/>
          <w:bCs/>
          <w:i w:val="false"/>
          <w:iCs w:val="false"/>
          <w:color w:val="8b5cf6"/>
          <w:sz w:val="22"/>
          <w:szCs w:val="22"/>
        </w:rPr>
        <w:t xml:space="preserve">DÉROULEMENT DE LA SÉANCE (1h30)</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700"/>
        <w:gridCol w:w="6266"/>
        <w:gridCol w:w="2500"/>
      </w:tblGrid>
      <w:tr>
        <w:tc>
          <w:tcPr>
            <w:tcW w:type="dxa" w:w="17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Phase / Durée</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Consignes et déroulement</w:t>
            </w:r>
          </w:p>
        </w:tc>
        <w:tc>
          <w:tcPr>
            <w:tcW w:type="dxa" w:w="2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Points de vigilance</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MISE EN SITUATION</w:t>
            </w:r>
          </w:p>
          <w:p>
            <w:pPr>
              <w:spacing w:after="0" w:before="0"/>
              <w:jc w:val="left"/>
            </w:pPr>
            <w:r>
              <w:rPr>
                <w:rFonts w:ascii="Arial" w:cs="Arial" w:eastAsia="Arial" w:hAnsi="Arial"/>
                <w:b w:val="false"/>
                <w:bCs w:val="false"/>
                <w:i w:val="false"/>
                <w:iCs w:val="false"/>
                <w:color w:val="e9d5ff"/>
                <w:sz w:val="18"/>
                <w:szCs w:val="18"/>
              </w:rPr>
              <w:t xml:space="preserve">12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1. Quatre situations vécues</w:t>
            </w:r>
          </w:p>
          <w:p>
            <w:pPr>
              <w:spacing w:after="40" w:before="0"/>
              <w:jc w:val="left"/>
            </w:pPr>
            <w:r>
              <w:rPr>
                <w:rFonts w:ascii="Arial" w:cs="Arial" w:eastAsia="Arial" w:hAnsi="Arial"/>
                <w:b w:val="false"/>
                <w:bCs w:val="false"/>
                <w:i w:val="false"/>
                <w:iCs w:val="false"/>
                <w:color w:val="334155"/>
                <w:sz w:val="19"/>
                <w:szCs w:val="19"/>
              </w:rPr>
              <w:t xml:space="preserve">La page propose quatre scènes familières : le lag en pleine partie, la barre de téléchargement qui recule, le message qui traverse le monde, deux fichiers identiques qui prennent des chemins différents. Chaque élève en choisit une et écrit son explication, sans recherche.</w:t>
            </w:r>
          </w:p>
          <w:p>
            <w:pPr>
              <w:spacing w:after="40" w:before="0"/>
              <w:jc w:val="left"/>
            </w:pPr>
            <w:r>
              <w:rPr>
                <w:rFonts w:ascii="Arial" w:cs="Arial" w:eastAsia="Arial" w:hAnsi="Arial"/>
                <w:b w:val="false"/>
                <w:bCs w:val="false"/>
                <w:i w:val="false"/>
                <w:iCs w:val="false"/>
                <w:color w:val="334155"/>
                <w:sz w:val="19"/>
                <w:szCs w:val="19"/>
              </w:rPr>
              <w:t xml:space="preserve">2. Visionnage de la vidéo, sans interruption</w:t>
            </w:r>
          </w:p>
          <w:p>
            <w:pPr>
              <w:spacing w:after="40" w:before="0"/>
              <w:jc w:val="left"/>
            </w:pPr>
            <w:r>
              <w:rPr>
                <w:rFonts w:ascii="Arial" w:cs="Arial" w:eastAsia="Arial" w:hAnsi="Arial"/>
                <w:b/>
                <w:bCs/>
                <w:i w:val="false"/>
                <w:iCs w:val="false"/>
                <w:color w:val="334155"/>
                <w:sz w:val="19"/>
                <w:szCs w:val="19"/>
              </w:rPr>
              <w:t xml:space="preserve">3. Retour sur l’hypothèse</w:t>
            </w:r>
          </w:p>
          <w:p>
            <w:pPr>
              <w:spacing w:after="40" w:before="0"/>
              <w:jc w:val="left"/>
            </w:pPr>
            <w:r>
              <w:rPr>
                <w:rFonts w:ascii="Arial" w:cs="Arial" w:eastAsia="Arial" w:hAnsi="Arial"/>
                <w:b w:val="false"/>
                <w:bCs w:val="false"/>
                <w:i w:val="false"/>
                <w:iCs w:val="false"/>
                <w:color w:val="334155"/>
                <w:sz w:val="19"/>
                <w:szCs w:val="19"/>
              </w:rPr>
              <w:t xml:space="preserve">Recueillir deux ou trois explications à l’oral. Ne pas trancher : les réponses complètes viendront de l’activité 1.</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Ne pas donner les mots IP et TCP à ce stade. Ils doivent être formulés comme un besoin avant d’être nommés.</w:t>
            </w:r>
          </w:p>
          <w:p>
            <w:pPr>
              <w:spacing w:after="30" w:before="0"/>
              <w:jc w:val="left"/>
            </w:pPr>
            <w:r>
              <w:rPr>
                <w:rFonts w:ascii="Arial" w:cs="Arial" w:eastAsia="Arial" w:hAnsi="Arial"/>
                <w:b w:val="false"/>
                <w:bCs w:val="false"/>
                <w:i/>
                <w:iCs/>
                <w:color w:val="64748b"/>
                <w:sz w:val="18"/>
                <w:szCs w:val="18"/>
              </w:rPr>
              <w:t xml:space="preserve">•  La barre qui recule intrigue toujours : la garder en réserve pour la reprendre au moment de la redemande de paquets.</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LEXIQUE</w:t>
            </w:r>
          </w:p>
          <w:p>
            <w:pPr>
              <w:spacing w:after="0" w:before="0"/>
              <w:jc w:val="left"/>
            </w:pPr>
            <w:r>
              <w:rPr>
                <w:rFonts w:ascii="Arial" w:cs="Arial" w:eastAsia="Arial" w:hAnsi="Arial"/>
                <w:b w:val="false"/>
                <w:bCs w:val="false"/>
                <w:i w:val="false"/>
                <w:iCs w:val="false"/>
                <w:color w:val="e9d5ff"/>
                <w:sz w:val="18"/>
                <w:szCs w:val="18"/>
              </w:rPr>
              <w:t xml:space="preserve">5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Lecture des six mots clés</w:t>
            </w:r>
          </w:p>
          <w:p>
            <w:pPr>
              <w:spacing w:after="40" w:before="0"/>
              <w:jc w:val="left"/>
            </w:pPr>
            <w:r>
              <w:rPr>
                <w:rFonts w:ascii="Arial" w:cs="Arial" w:eastAsia="Arial" w:hAnsi="Arial"/>
                <w:b w:val="false"/>
                <w:bCs w:val="false"/>
                <w:i w:val="false"/>
                <w:iCs w:val="false"/>
                <w:color w:val="334155"/>
                <w:sz w:val="19"/>
                <w:szCs w:val="19"/>
              </w:rPr>
              <w:t xml:space="preserve">Paquet, en-tête, routeur, protocole IP, protocole TCP, TTL. Insister sur en-tête : c’est ce que les élèves vont lire sur leur bande de papier dans un instant.</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Le TTL est le mot le plus neuf. Ne pas le développer ici : il sera vécu en activité 1 puis expliqué en activité 2.</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ACTIVITÉ 1</w:t>
            </w:r>
          </w:p>
          <w:p>
            <w:pPr>
              <w:spacing w:after="0" w:before="0"/>
              <w:jc w:val="left"/>
            </w:pPr>
            <w:r>
              <w:rPr>
                <w:rFonts w:ascii="Arial" w:cs="Arial" w:eastAsia="Arial" w:hAnsi="Arial"/>
                <w:b w:val="false"/>
                <w:bCs w:val="false"/>
                <w:i w:val="false"/>
                <w:iCs w:val="false"/>
                <w:color w:val="e9d5ff"/>
                <w:sz w:val="18"/>
                <w:szCs w:val="18"/>
              </w:rPr>
              <w:t xml:space="preserve">Débranchée — 20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La lettre déchiquetée</w:t>
            </w:r>
          </w:p>
          <w:p>
            <w:pPr>
              <w:spacing w:after="40" w:before="0"/>
              <w:jc w:val="left"/>
            </w:pPr>
            <w:r>
              <w:rPr>
                <w:rFonts w:ascii="Arial" w:cs="Arial" w:eastAsia="Arial" w:hAnsi="Arial"/>
                <w:b w:val="false"/>
                <w:bCs w:val="false"/>
                <w:i w:val="false"/>
                <w:iCs w:val="false"/>
                <w:color w:val="334155"/>
                <w:sz w:val="19"/>
                <w:szCs w:val="19"/>
              </w:rPr>
              <w:t xml:space="preserve">Distribuer 24 bandes, une par élève, sans explication. Cinq messages mélangés circulent dans la salle. Les élèves se regroupent, se rangent par numéro, puis lisent.</w:t>
            </w:r>
          </w:p>
          <w:p>
            <w:pPr>
              <w:spacing w:after="40" w:before="0"/>
              <w:jc w:val="left"/>
            </w:pPr>
            <w:r>
              <w:rPr>
                <w:rFonts w:ascii="Arial" w:cs="Arial" w:eastAsia="Arial" w:hAnsi="Arial"/>
                <w:b/>
                <w:bCs/>
                <w:i w:val="false"/>
                <w:iCs w:val="false"/>
                <w:color w:val="334155"/>
                <w:sz w:val="19"/>
                <w:szCs w:val="19"/>
              </w:rPr>
              <w:t xml:space="preserve">Trois anomalies préparées</w:t>
            </w:r>
          </w:p>
          <w:p>
            <w:pPr>
              <w:spacing w:after="40" w:before="0"/>
              <w:jc w:val="left"/>
            </w:pPr>
            <w:r>
              <w:rPr>
                <w:rFonts w:ascii="Arial" w:cs="Arial" w:eastAsia="Arial" w:hAnsi="Arial"/>
                <w:b w:val="false"/>
                <w:bCs w:val="false"/>
                <w:i w:val="false"/>
                <w:iCs w:val="false"/>
                <w:color w:val="334155"/>
                <w:sz w:val="19"/>
                <w:szCs w:val="19"/>
              </w:rPr>
              <w:t xml:space="preserve">MSG-B 03/05 est retenu : le groupe doit le réclamer, on le lui renvoie. MSG-D 02/05 porte TTL 00 et n’est jamais rendu : il a été détruit. MSG-A 04/05 est distribué en double.</w:t>
            </w:r>
          </w:p>
          <w:p>
            <w:pPr>
              <w:spacing w:after="40" w:before="0"/>
              <w:jc w:val="left"/>
            </w:pPr>
            <w:r>
              <w:rPr>
                <w:rFonts w:ascii="Arial" w:cs="Arial" w:eastAsia="Arial" w:hAnsi="Arial"/>
                <w:b w:val="false"/>
                <w:bCs w:val="false"/>
                <w:i w:val="false"/>
                <w:iCs w:val="false"/>
                <w:color w:val="334155"/>
                <w:sz w:val="19"/>
                <w:szCs w:val="19"/>
              </w:rPr>
              <w:t xml:space="preserve">Le déroulé minute par minute figure dans le document « Bandes à découper ». Les élèves répondent ensuite aux quatre questions de la page.</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Ne pas distribuer par rangée : les membres d’un même message doivent avoir à se chercher, c’est le travail d’IP.</w:t>
            </w:r>
          </w:p>
          <w:p>
            <w:pPr>
              <w:spacing w:after="30" w:before="0"/>
              <w:jc w:val="left"/>
            </w:pPr>
            <w:r>
              <w:rPr>
                <w:rFonts w:ascii="Arial" w:cs="Arial" w:eastAsia="Arial" w:hAnsi="Arial"/>
                <w:b w:val="false"/>
                <w:bCs w:val="false"/>
                <w:i/>
                <w:iCs/>
                <w:color w:val="64748b"/>
                <w:sz w:val="18"/>
                <w:szCs w:val="18"/>
              </w:rPr>
              <w:t xml:space="preserve">•  Résister à l’envie d’expliquer pendant le désordre. La confusion des trois premières minutes est le ressort de la séance.</w:t>
            </w:r>
          </w:p>
          <w:p>
            <w:pPr>
              <w:spacing w:after="30" w:before="0"/>
              <w:jc w:val="left"/>
            </w:pPr>
            <w:r>
              <w:rPr>
                <w:rFonts w:ascii="Arial" w:cs="Arial" w:eastAsia="Arial" w:hAnsi="Arial"/>
                <w:b w:val="false"/>
                <w:bCs w:val="false"/>
                <w:i/>
                <w:iCs/>
                <w:color w:val="64748b"/>
                <w:sz w:val="18"/>
                <w:szCs w:val="18"/>
              </w:rPr>
              <w:t xml:space="preserve">•  Nommer les gestes au moment où ils se produisent : « ça, c’est une redemande », « ça, c’est un paquet détruit ».</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ACTIVITÉ 2</w:t>
            </w:r>
          </w:p>
          <w:p>
            <w:pPr>
              <w:spacing w:after="0" w:before="0"/>
              <w:jc w:val="left"/>
            </w:pPr>
            <w:r>
              <w:rPr>
                <w:rFonts w:ascii="Arial" w:cs="Arial" w:eastAsia="Arial" w:hAnsi="Arial"/>
                <w:b w:val="false"/>
                <w:bCs w:val="false"/>
                <w:i w:val="false"/>
                <w:iCs w:val="false"/>
                <w:color w:val="e9d5ff"/>
                <w:sz w:val="18"/>
                <w:szCs w:val="18"/>
              </w:rPr>
              <w:t xml:space="preserve">Traceroute — 20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Relever le chemin réel des paquets</w:t>
            </w:r>
          </w:p>
          <w:p>
            <w:pPr>
              <w:spacing w:after="40" w:before="0"/>
              <w:jc w:val="left"/>
            </w:pPr>
            <w:r>
              <w:rPr>
                <w:rFonts w:ascii="Arial" w:cs="Arial" w:eastAsia="Arial" w:hAnsi="Arial"/>
                <w:b w:val="false"/>
                <w:bCs w:val="false"/>
                <w:i w:val="false"/>
                <w:iCs w:val="false"/>
                <w:color w:val="334155"/>
                <w:sz w:val="19"/>
                <w:szCs w:val="19"/>
              </w:rPr>
              <w:t xml:space="preserve">Ouvrir l’invite de commandes, puis lancer tracert vers service-public.fr, bbc.co.uk et nasa.gov. Reporter dans le tableau le nombre de sauts et les temps du premier et du dernier saut.</w:t>
            </w:r>
          </w:p>
          <w:p>
            <w:pPr>
              <w:spacing w:after="40" w:before="0"/>
              <w:jc w:val="left"/>
            </w:pPr>
            <w:r>
              <w:rPr>
                <w:rFonts w:ascii="Arial" w:cs="Arial" w:eastAsia="Arial" w:hAnsi="Arial"/>
                <w:b w:val="false"/>
                <w:bCs w:val="false"/>
                <w:i w:val="false"/>
                <w:iCs w:val="false"/>
                <w:color w:val="334155"/>
                <w:sz w:val="19"/>
                <w:szCs w:val="19"/>
              </w:rPr>
              <w:t xml:space="preserve">Un encart de la page explique comment la commande fonctionne : elle envoie des paquets avec un TTL croissant, et chaque routeur qui détruit un paquet révèle son adresse.</w:t>
            </w:r>
          </w:p>
          <w:p>
            <w:pPr>
              <w:spacing w:after="40" w:before="0"/>
              <w:jc w:val="left"/>
            </w:pPr>
            <w:r>
              <w:rPr>
                <w:rFonts w:ascii="Arial" w:cs="Arial" w:eastAsia="Arial" w:hAnsi="Arial"/>
                <w:b w:val="false"/>
                <w:bCs w:val="false"/>
                <w:i w:val="false"/>
                <w:iCs w:val="false"/>
                <w:color w:val="334155"/>
                <w:sz w:val="19"/>
                <w:szCs w:val="19"/>
              </w:rPr>
              <w:t xml:space="preserve">Trois questions : rapport entre distance et temps, tronc commun des premiers sauts, signification des étoiles.</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Si tracert est bloqué sur les postes, un relevé pré-rempli figure dans le document de correction : l’analyse reste possible sans la manipulation.</w:t>
            </w:r>
          </w:p>
          <w:p>
            <w:pPr>
              <w:spacing w:after="30" w:before="0"/>
              <w:jc w:val="left"/>
            </w:pPr>
            <w:r>
              <w:rPr>
                <w:rFonts w:ascii="Arial" w:cs="Arial" w:eastAsia="Arial" w:hAnsi="Arial"/>
                <w:b w:val="false"/>
                <w:bCs w:val="false"/>
                <w:i/>
                <w:iCs/>
                <w:color w:val="64748b"/>
                <w:sz w:val="18"/>
                <w:szCs w:val="18"/>
              </w:rPr>
              <w:t xml:space="preserve">•  C’est ici que le TTL prend son sens : la commande n’est pas magique, elle exploite la destruction des paquets.</w:t>
            </w:r>
          </w:p>
          <w:p>
            <w:pPr>
              <w:spacing w:after="30" w:before="0"/>
              <w:jc w:val="left"/>
            </w:pPr>
            <w:r>
              <w:rPr>
                <w:rFonts w:ascii="Arial" w:cs="Arial" w:eastAsia="Arial" w:hAnsi="Arial"/>
                <w:b w:val="false"/>
                <w:bCs w:val="false"/>
                <w:i/>
                <w:iCs/>
                <w:color w:val="64748b"/>
                <w:sz w:val="18"/>
                <w:szCs w:val="18"/>
              </w:rPr>
              <w:t xml:space="preserve">•  Les étoiles ne sont pas une panne : certains routeurs sont configurés pour ne pas répondre.</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ACTIVITÉ 3</w:t>
            </w:r>
          </w:p>
          <w:p>
            <w:pPr>
              <w:spacing w:after="0" w:before="0"/>
              <w:jc w:val="left"/>
            </w:pPr>
            <w:r>
              <w:rPr>
                <w:rFonts w:ascii="Arial" w:cs="Arial" w:eastAsia="Arial" w:hAnsi="Arial"/>
                <w:b w:val="false"/>
                <w:bCs w:val="false"/>
                <w:i w:val="false"/>
                <w:iCs w:val="false"/>
                <w:color w:val="e9d5ff"/>
                <w:sz w:val="18"/>
                <w:szCs w:val="18"/>
              </w:rPr>
              <w:t xml:space="preserve">Panne — 15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Un réseau maillé entre Paris et New York</w:t>
            </w:r>
          </w:p>
          <w:p>
            <w:pPr>
              <w:spacing w:after="40" w:before="0"/>
              <w:jc w:val="left"/>
            </w:pPr>
            <w:r>
              <w:rPr>
                <w:rFonts w:ascii="Arial" w:cs="Arial" w:eastAsia="Arial" w:hAnsi="Arial"/>
                <w:b w:val="false"/>
                <w:bCs w:val="false"/>
                <w:i w:val="false"/>
                <w:iCs w:val="false"/>
                <w:color w:val="334155"/>
                <w:sz w:val="19"/>
                <w:szCs w:val="19"/>
              </w:rPr>
              <w:t xml:space="preserve">Le schéma comporte six routeurs et quatre chemins possibles. Les élèves énumèrent les chemins, puis étudient la panne du routeur R3.</w:t>
            </w:r>
          </w:p>
          <w:p>
            <w:pPr>
              <w:spacing w:after="40" w:before="0"/>
              <w:jc w:val="left"/>
            </w:pPr>
            <w:r>
              <w:rPr>
                <w:rFonts w:ascii="Arial" w:cs="Arial" w:eastAsia="Arial" w:hAnsi="Arial"/>
                <w:b w:val="false"/>
                <w:bCs w:val="false"/>
                <w:i w:val="false"/>
                <w:iCs w:val="false"/>
                <w:color w:val="334155"/>
                <w:sz w:val="19"/>
                <w:szCs w:val="19"/>
              </w:rPr>
              <w:t xml:space="preserve">La dernière question porte sur l’idée de « couper Internet ». Elle invite à chercher sur le schéma un routeur dont la panne bloquerait vraiment tout.</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Réponse attendue : R3 se contourne, il reste deux chemins. Mais R1 et R5 sont des points de passage obligés : leur panne coupe tout.</w:t>
            </w:r>
          </w:p>
          <w:p>
            <w:pPr>
              <w:spacing w:after="30" w:before="0"/>
              <w:jc w:val="left"/>
            </w:pPr>
            <w:r>
              <w:rPr>
                <w:rFonts w:ascii="Arial" w:cs="Arial" w:eastAsia="Arial" w:hAnsi="Arial"/>
                <w:b w:val="false"/>
                <w:bCs w:val="false"/>
                <w:i/>
                <w:iCs/>
                <w:color w:val="64748b"/>
                <w:sz w:val="18"/>
                <w:szCs w:val="18"/>
              </w:rPr>
              <w:t xml:space="preserve">•  C’est la limite du routage, explicitement au programme. Un réseau maillé est robuste en son centre, fragile à ses extrémités.</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SYNTHÈSE</w:t>
            </w:r>
          </w:p>
          <w:p>
            <w:pPr>
              <w:spacing w:after="0" w:before="0"/>
              <w:jc w:val="left"/>
            </w:pPr>
            <w:r>
              <w:rPr>
                <w:rFonts w:ascii="Arial" w:cs="Arial" w:eastAsia="Arial" w:hAnsi="Arial"/>
                <w:b w:val="false"/>
                <w:bCs w:val="false"/>
                <w:i w:val="false"/>
                <w:iCs w:val="false"/>
                <w:color w:val="e9d5ff"/>
                <w:sz w:val="18"/>
                <w:szCs w:val="18"/>
              </w:rPr>
              <w:t xml:space="preserve">Trace écrite — 10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Cinq champs à compléter</w:t>
            </w:r>
          </w:p>
          <w:p>
            <w:pPr>
              <w:spacing w:after="40" w:before="0"/>
              <w:jc w:val="left"/>
            </w:pPr>
            <w:r>
              <w:rPr>
                <w:rFonts w:ascii="Arial" w:cs="Arial" w:eastAsia="Arial" w:hAnsi="Arial"/>
                <w:b w:val="false"/>
                <w:bCs w:val="false"/>
                <w:i w:val="false"/>
                <w:iCs w:val="false"/>
                <w:color w:val="334155"/>
                <w:sz w:val="19"/>
                <w:szCs w:val="19"/>
              </w:rPr>
              <w:t xml:space="preserve">Qu’est-ce qu’un paquet ; le rôle d’IP ; le rôle de TCP ; le TTL ; fiable mais sans garantie de délai.</w:t>
            </w:r>
          </w:p>
          <w:p>
            <w:pPr>
              <w:spacing w:after="40" w:before="0"/>
              <w:jc w:val="left"/>
            </w:pPr>
            <w:r>
              <w:rPr>
                <w:rFonts w:ascii="Arial" w:cs="Arial" w:eastAsia="Arial" w:hAnsi="Arial"/>
                <w:b w:val="false"/>
                <w:bCs w:val="false"/>
                <w:i w:val="false"/>
                <w:iCs w:val="false"/>
                <w:color w:val="334155"/>
                <w:sz w:val="19"/>
                <w:szCs w:val="19"/>
              </w:rPr>
              <w:t xml:space="preserve">Les cinq champs reprennent exactement les cinq messages de l’activité 1. Les élèves peuvent s’appuyer sur ce qu’ils ont lu à voix haute.</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Exiger une reformulation, pas une recopie du message reçu.</w:t>
            </w:r>
          </w:p>
          <w:p>
            <w:pPr>
              <w:spacing w:after="30" w:before="0"/>
              <w:jc w:val="left"/>
            </w:pPr>
            <w:r>
              <w:rPr>
                <w:rFonts w:ascii="Arial" w:cs="Arial" w:eastAsia="Arial" w:hAnsi="Arial"/>
                <w:b w:val="false"/>
                <w:bCs w:val="false"/>
                <w:i/>
                <w:iCs/>
                <w:color w:val="64748b"/>
                <w:sz w:val="18"/>
                <w:szCs w:val="18"/>
              </w:rPr>
              <w:t xml:space="preserve">•  Le bouton Sauvegarder se trouve plus bas, après le quiz.</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QUIZ</w:t>
            </w:r>
          </w:p>
          <w:p>
            <w:pPr>
              <w:spacing w:after="0" w:before="0"/>
              <w:jc w:val="left"/>
            </w:pPr>
            <w:r>
              <w:rPr>
                <w:rFonts w:ascii="Arial" w:cs="Arial" w:eastAsia="Arial" w:hAnsi="Arial"/>
                <w:b w:val="false"/>
                <w:bCs w:val="false"/>
                <w:i w:val="false"/>
                <w:iCs w:val="false"/>
                <w:color w:val="e9d5ff"/>
                <w:sz w:val="18"/>
                <w:szCs w:val="18"/>
              </w:rPr>
              <w:t xml:space="preserve">8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Six questions à choix multiple, auto-corrigées</w:t>
            </w:r>
          </w:p>
          <w:p>
            <w:pPr>
              <w:spacing w:after="40" w:before="0"/>
              <w:jc w:val="left"/>
            </w:pPr>
            <w:r>
              <w:rPr>
                <w:rFonts w:ascii="Arial" w:cs="Arial" w:eastAsia="Arial" w:hAnsi="Arial"/>
                <w:b w:val="false"/>
                <w:bCs w:val="false"/>
                <w:i w:val="false"/>
                <w:iCs w:val="false"/>
                <w:color w:val="334155"/>
                <w:sz w:val="19"/>
                <w:szCs w:val="19"/>
              </w:rPr>
              <w:t xml:space="preserve">Correction immédiate, une seule validation possible.</w:t>
            </w:r>
          </w:p>
          <w:p>
            <w:pPr>
              <w:spacing w:after="40" w:before="0"/>
              <w:jc w:val="left"/>
            </w:pPr>
            <w:r>
              <w:rPr>
                <w:rFonts w:ascii="Arial" w:cs="Arial" w:eastAsia="Arial" w:hAnsi="Arial"/>
                <w:b/>
                <w:bCs/>
                <w:i w:val="false"/>
                <w:iCs w:val="false"/>
                <w:color w:val="334155"/>
                <w:sz w:val="19"/>
                <w:szCs w:val="19"/>
              </w:rPr>
              <w:t xml:space="preserve">Puis Sauvegarder, puis Télécharger le PDF</w:t>
            </w:r>
          </w:p>
          <w:p>
            <w:pPr>
              <w:spacing w:after="40" w:before="0"/>
              <w:jc w:val="left"/>
            </w:pPr>
            <w:r>
              <w:rPr>
                <w:rFonts w:ascii="Arial" w:cs="Arial" w:eastAsia="Arial" w:hAnsi="Arial"/>
                <w:b w:val="false"/>
                <w:bCs w:val="false"/>
                <w:i w:val="false"/>
                <w:iCs w:val="false"/>
                <w:color w:val="334155"/>
                <w:sz w:val="19"/>
                <w:szCs w:val="19"/>
              </w:rPr>
              <w:t xml:space="preserve">Le PDF reprend tout : hypothèses, les trois activités, les relevés traceroute, la trace écrite et le quiz corrigé.</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La correction du quiz n’apparaît dans le PDF qu’une fois le quiz validé.</w:t>
            </w:r>
          </w:p>
          <w:p>
            <w:pPr>
              <w:spacing w:after="30" w:before="0"/>
              <w:jc w:val="left"/>
            </w:pPr>
            <w:r>
              <w:rPr>
                <w:rFonts w:ascii="Arial" w:cs="Arial" w:eastAsia="Arial" w:hAnsi="Arial"/>
                <w:b w:val="false"/>
                <w:bCs w:val="false"/>
                <w:i/>
                <w:iCs/>
                <w:color w:val="64748b"/>
                <w:sz w:val="18"/>
                <w:szCs w:val="18"/>
              </w:rPr>
              <w:t xml:space="preserve">•  Reprendre la question 6 à l’oral si elle est ratée : c’est la distinction fiabilité / délai, au programme.</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BILAN</w:t>
            </w:r>
          </w:p>
          <w:p>
            <w:pPr>
              <w:spacing w:after="0" w:before="0"/>
              <w:jc w:val="left"/>
            </w:pPr>
            <w:r>
              <w:rPr>
                <w:rFonts w:ascii="Arial" w:cs="Arial" w:eastAsia="Arial" w:hAnsi="Arial"/>
                <w:b w:val="false"/>
                <w:bCs w:val="false"/>
                <w:i w:val="false"/>
                <w:iCs w:val="false"/>
                <w:color w:val="e9d5ff"/>
                <w:sz w:val="18"/>
                <w:szCs w:val="18"/>
              </w:rPr>
              <w:t xml:space="preserve">5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Rubrique « J’ai réussi si… »</w:t>
            </w:r>
          </w:p>
          <w:p>
            <w:pPr>
              <w:spacing w:after="40" w:before="0"/>
              <w:jc w:val="left"/>
            </w:pPr>
            <w:r>
              <w:rPr>
                <w:rFonts w:ascii="Arial" w:cs="Arial" w:eastAsia="Arial" w:hAnsi="Arial"/>
                <w:b w:val="false"/>
                <w:bCs w:val="false"/>
                <w:i w:val="false"/>
                <w:iCs w:val="false"/>
                <w:color w:val="334155"/>
                <w:sz w:val="19"/>
                <w:szCs w:val="19"/>
              </w:rPr>
              <w:t xml:space="preserve">Lire les six critères avec la classe.</w:t>
            </w:r>
          </w:p>
          <w:p>
            <w:pPr>
              <w:spacing w:after="40" w:before="0"/>
              <w:jc w:val="left"/>
            </w:pPr>
            <w:r>
              <w:rPr>
                <w:rFonts w:ascii="Arial" w:cs="Arial" w:eastAsia="Arial" w:hAnsi="Arial"/>
                <w:b w:val="false"/>
                <w:bCs w:val="false"/>
                <w:i w:val="false"/>
                <w:iCs w:val="false"/>
                <w:color w:val="334155"/>
                <w:sz w:val="19"/>
                <w:szCs w:val="19"/>
              </w:rPr>
              <w:t xml:space="preserve">Annoncer la séance 4 : les réseaux pair-à-pair. On aura vu comment les données circulent d’un serveur vers un client ; il restera à voir ce qui se passe quand chaque machine est à la fois l’un et l’autre.</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Revenir une dernière fois sur la répartition des rôles : IP achemine, TCP fiabilise.</w:t>
            </w:r>
          </w:p>
        </w:tc>
      </w:tr>
    </w:tbl>
    <w:p>
      <w:pPr>
        <w:spacing w:after="120" w:before="260"/>
      </w:pPr>
      <w:r>
        <w:rPr>
          <w:rFonts w:ascii="Arial" w:cs="Arial" w:eastAsia="Arial" w:hAnsi="Arial"/>
          <w:b/>
          <w:bCs/>
          <w:i w:val="false"/>
          <w:iCs w:val="false"/>
          <w:color w:val="8b5cf6"/>
          <w:sz w:val="22"/>
          <w:szCs w:val="22"/>
        </w:rPr>
        <w:t xml:space="preserve">BILAN POST-SÉANCE (à remplir après le cours)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000"/>
        <w:gridCol w:w="7466"/>
      </w:tblGrid>
      <w:tr>
        <w:tc>
          <w:tcPr>
            <w:tcW w:type="dxa" w:w="3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Ajustements pour la prochaine fois</w:t>
            </w:r>
          </w:p>
        </w:tc>
        <w:tc>
          <w:tcPr>
            <w:tcW w:type="dxa" w:w="7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tc>
      </w:tr>
      <w:tr>
        <w:tc>
          <w:tcPr>
            <w:tcW w:type="dxa" w:w="3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Observations élèves</w:t>
            </w:r>
          </w:p>
        </w:tc>
        <w:tc>
          <w:tcPr>
            <w:tcW w:type="dxa" w:w="7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Fiche de séance Technologie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2026-09-01T03:34:48.310Z</dcterms:created>
  <dcterms:modified xsi:type="dcterms:W3CDTF">2026-09-01T03:34:48.324Z</dcterms:modified>
</cp:coreProperties>
</file>

<file path=docProps/custom.xml><?xml version="1.0" encoding="utf-8"?>
<Properties xmlns="http://schemas.openxmlformats.org/officeDocument/2006/custom-properties" xmlns:vt="http://schemas.openxmlformats.org/officeDocument/2006/docPropsVTypes"/>
</file>