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FFFFFF" w:sz="4"/>
              <w:left w:val="single" w:color="FFFFFF" w:sz="4"/>
              <w:bottom w:val="single" w:color="FFFFFF" w:sz="4"/>
              <w:right w:val="single" w:color="FFFFFF" w:sz="4"/>
            </w:tcBorders>
            <w:shd w:fill="0c1a2e" w:color="auto" w:val="clear"/>
            <w:tcMar>
              <w:top w:type="dxa" w:w="90"/>
              <w:left w:type="dxa" w:w="100"/>
              <w:bottom w:type="dxa" w:w="90"/>
              <w:right w:type="dxa" w:w="100"/>
            </w:tcMar>
            <w:vAlign w:val="center"/>
          </w:tcPr>
          <w:p>
            <w:pPr>
              <w:spacing w:after="40" w:before="0"/>
              <w:jc w:val="left"/>
            </w:pPr>
            <w:r>
              <w:rPr>
                <w:rFonts w:ascii="Arial" w:cs="Arial" w:eastAsia="Arial" w:hAnsi="Arial"/>
                <w:b/>
                <w:bCs/>
                <w:i w:val="false"/>
                <w:iCs w:val="false"/>
                <w:color w:val="FFFFFF"/>
                <w:sz w:val="28"/>
                <w:szCs w:val="28"/>
              </w:rPr>
              <w:t xml:space="preserve">BONUS — Aux limites du routage</w:t>
            </w:r>
          </w:p>
          <w:p>
            <w:pPr>
              <w:spacing w:after="40" w:before="0"/>
              <w:jc w:val="left"/>
            </w:pPr>
            <w:r>
              <w:rPr>
                <w:rFonts w:ascii="Arial" w:cs="Arial" w:eastAsia="Arial" w:hAnsi="Arial"/>
                <w:b w:val="false"/>
                <w:bCs w:val="false"/>
                <w:i w:val="false"/>
                <w:iCs w:val="false"/>
                <w:color w:val="c4b5fd"/>
                <w:sz w:val="20"/>
                <w:szCs w:val="20"/>
              </w:rPr>
              <w:t xml:space="preserve">SNT Seconde   |   Internet   |   Activité supplémentaire</w:t>
            </w:r>
          </w:p>
          <w:p>
            <w:pPr>
              <w:spacing w:after="0" w:before="0"/>
              <w:jc w:val="left"/>
            </w:pPr>
            <w:r>
              <w:rPr>
                <w:rFonts w:ascii="Arial" w:cs="Arial" w:eastAsia="Arial" w:hAnsi="Arial"/>
                <w:b w:val="false"/>
                <w:bCs w:val="false"/>
                <w:i/>
                <w:iCs/>
                <w:color w:val="a78bfa"/>
                <w:sz w:val="18"/>
                <w:szCs w:val="18"/>
              </w:rPr>
              <w:t xml:space="preserve">Pour les élèves qui ont terminé en avance</w:t>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60" w:before="0"/>
              <w:jc w:val="left"/>
            </w:pPr>
            <w:r>
              <w:rPr>
                <w:rFonts w:ascii="Arial" w:cs="Arial" w:eastAsia="Arial" w:hAnsi="Arial"/>
                <w:b/>
                <w:bCs/>
                <w:i w:val="false"/>
                <w:iCs w:val="false"/>
                <w:color w:val="8b5cf6"/>
                <w:sz w:val="20"/>
                <w:szCs w:val="20"/>
              </w:rPr>
              <w:t xml:space="preserve">Note pour le professeur</w:t>
            </w:r>
          </w:p>
          <w:p>
            <w:pPr>
              <w:spacing w:after="60" w:before="0"/>
              <w:jc w:val="left"/>
            </w:pPr>
            <w:r>
              <w:rPr>
                <w:rFonts w:ascii="Arial" w:cs="Arial" w:eastAsia="Arial" w:hAnsi="Arial"/>
                <w:b w:val="false"/>
                <w:bCs w:val="false"/>
                <w:i w:val="false"/>
                <w:iCs w:val="false"/>
                <w:color w:val="334155"/>
                <w:sz w:val="19"/>
                <w:szCs w:val="19"/>
              </w:rPr>
              <w:t xml:space="preserve">Ce document prolonge la séance 3 sans empiéter sur les suivantes : les réseaux pair-à-pair sont traités en séance 4, la neutralité du Net en séance 5.</w:t>
            </w:r>
          </w:p>
          <w:p>
            <w:pPr>
              <w:spacing w:after="60" w:before="0"/>
              <w:jc w:val="left"/>
            </w:pPr>
            <w:r>
              <w:rPr>
                <w:rFonts w:ascii="Arial" w:cs="Arial" w:eastAsia="Arial" w:hAnsi="Arial"/>
                <w:b w:val="false"/>
                <w:bCs w:val="false"/>
                <w:i w:val="false"/>
                <w:iCs w:val="false"/>
                <w:color w:val="334155"/>
                <w:sz w:val="19"/>
                <w:szCs w:val="19"/>
              </w:rPr>
              <w:t xml:space="preserve">La partie 1 demande un accès à une commande réseau. Les parties 2 et 3 se font entièrement sans machine, à partir du schéma de la séance et d’un calcul simple.</w:t>
            </w:r>
          </w:p>
          <w:p>
            <w:pPr>
              <w:spacing w:after="0" w:before="0"/>
              <w:jc w:val="left"/>
            </w:pPr>
            <w:r>
              <w:rPr>
                <w:rFonts w:ascii="Arial" w:cs="Arial" w:eastAsia="Arial" w:hAnsi="Arial"/>
                <w:b w:val="false"/>
                <w:bCs w:val="false"/>
                <w:i w:val="false"/>
                <w:iCs w:val="false"/>
                <w:color w:val="334155"/>
                <w:sz w:val="19"/>
                <w:szCs w:val="19"/>
              </w:rPr>
              <w:t xml:space="preserve">Durée estimée : 15 à 20 minutes, en autonomie.</w:t>
            </w:r>
          </w:p>
        </w:tc>
      </w:tr>
    </w:tbl>
    <w:p>
      <w:pPr>
        <w:spacing w:after="120" w:before="280"/>
      </w:pPr>
      <w:r>
        <w:rPr>
          <w:rFonts w:ascii="Arial" w:cs="Arial" w:eastAsia="Arial" w:hAnsi="Arial"/>
          <w:b/>
          <w:bCs/>
          <w:i w:val="false"/>
          <w:iCs w:val="false"/>
          <w:color w:val="8b5cf6"/>
          <w:sz w:val="22"/>
          <w:szCs w:val="22"/>
        </w:rPr>
        <w:t xml:space="preserve">PARTIE 1 — PILOTER LE TTL À LA MAIN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8fafc" w:color="auto" w:val="clear"/>
            <w:tcMar>
              <w:top w:type="dxa" w:w="90"/>
              <w:left w:type="dxa" w:w="100"/>
              <w:bottom w:type="dxa" w:w="90"/>
              <w:right w:type="dxa" w:w="100"/>
            </w:tcMar>
            <w:vAlign w:val="center"/>
          </w:tcPr>
          <w:p>
            <w:pPr>
              <w:spacing w:after="80" w:before="0"/>
              <w:jc w:val="left"/>
            </w:pPr>
            <w:r>
              <w:rPr>
                <w:rFonts w:ascii="Arial" w:cs="Arial" w:eastAsia="Arial" w:hAnsi="Arial"/>
                <w:b/>
                <w:bCs/>
                <w:i w:val="false"/>
                <w:iCs w:val="false"/>
                <w:color w:val="8b5cf6"/>
                <w:sz w:val="21"/>
                <w:szCs w:val="21"/>
              </w:rPr>
              <w:t xml:space="preserve">Faire varier le TTL soi-même</w:t>
            </w:r>
          </w:p>
          <w:p>
            <w:pPr>
              <w:spacing w:after="80" w:before="0"/>
              <w:jc w:val="left"/>
            </w:pPr>
            <w:r>
              <w:rPr>
                <w:rFonts w:ascii="Arial" w:cs="Arial" w:eastAsia="Arial" w:hAnsi="Arial"/>
                <w:b w:val="false"/>
                <w:bCs w:val="false"/>
                <w:i w:val="false"/>
                <w:iCs w:val="false"/>
                <w:color w:val="334155"/>
                <w:sz w:val="19"/>
                <w:szCs w:val="19"/>
              </w:rPr>
              <w:t xml:space="preserve">La commande ping accepte un TTL choisi. Sous Windows, l’option se note -i.</w:t>
            </w:r>
          </w:p>
          <w:p>
            <w:pPr>
              <w:spacing w:after="40" w:before="0"/>
              <w:jc w:val="left"/>
            </w:pPr>
            <w:r>
              <w:rPr>
                <w:rFonts w:ascii="Consolas" w:cs="Consolas" w:eastAsia="Consolas" w:hAnsi="Consolas"/>
                <w:b/>
                <w:bCs/>
                <w:i w:val="false"/>
                <w:iCs w:val="false"/>
                <w:color w:val="334155"/>
                <w:sz w:val="19"/>
                <w:szCs w:val="19"/>
              </w:rPr>
              <w:t xml:space="preserve">ping -i 1 www.service-public.fr</w:t>
            </w:r>
          </w:p>
          <w:p>
            <w:pPr>
              <w:spacing w:after="80" w:before="0"/>
              <w:jc w:val="left"/>
            </w:pPr>
            <w:r>
              <w:rPr>
                <w:rFonts w:ascii="Arial" w:cs="Arial" w:eastAsia="Arial" w:hAnsi="Arial"/>
                <w:b w:val="false"/>
                <w:bCs w:val="false"/>
                <w:i w:val="false"/>
                <w:iCs w:val="false"/>
                <w:color w:val="334155"/>
                <w:sz w:val="19"/>
                <w:szCs w:val="19"/>
              </w:rPr>
              <w:t xml:space="preserve">Le paquet part avec un TTL de 1. Le premier routeur le détruit et signale la destruction. La réponse affichée n’est donc pas celle du serveur, mais celle d’un routeur intermédiaire.</w:t>
            </w:r>
          </w:p>
          <w:p>
            <w:pPr>
              <w:spacing w:after="40" w:before="0"/>
              <w:jc w:val="left"/>
            </w:pPr>
            <w:r>
              <w:rPr>
                <w:rFonts w:ascii="Consolas" w:cs="Consolas" w:eastAsia="Consolas" w:hAnsi="Consolas"/>
                <w:b/>
                <w:bCs/>
                <w:i w:val="false"/>
                <w:iCs w:val="false"/>
                <w:color w:val="334155"/>
                <w:sz w:val="19"/>
                <w:szCs w:val="19"/>
              </w:rPr>
              <w:t xml:space="preserve">ping -i 2 www.service-public.fr        puis  -i 3,  -i 4,  et ainsi de suite</w:t>
            </w:r>
          </w:p>
          <w:p>
            <w:pPr>
              <w:spacing w:after="0" w:before="0"/>
              <w:jc w:val="left"/>
            </w:pPr>
            <w:r>
              <w:rPr>
                <w:rFonts w:ascii="Arial" w:cs="Arial" w:eastAsia="Arial" w:hAnsi="Arial"/>
                <w:b w:val="false"/>
                <w:bCs w:val="false"/>
                <w:i w:val="false"/>
                <w:iCs w:val="false"/>
                <w:color w:val="334155"/>
                <w:sz w:val="19"/>
                <w:szCs w:val="19"/>
              </w:rPr>
              <w:t xml:space="preserve">À chaque essai, le paquet va un routeur plus loin. En augmentant le TTL un par un, tu reconstitues le chemin exactement comme le fait traceroute.</w:t>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266"/>
        <w:gridCol w:w="4200"/>
      </w:tblGrid>
      <w:tr>
        <w:tc>
          <w:tcPr>
            <w:tcW w:type="dxa" w:w="62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42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Ta réponse</w:t>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À partir de quelle valeur de TTL obtiens-tu enfin une réponse du serveur lui-même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Compare ce nombre au nombre de sauts relevé avec traceroute pendant la séance. Que constates-tu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Quel message s’affiche quand le TTL est trop faible ? Recopie-le.</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Explique avec tes propres mots pourquoi cette expérience prouve que le paquet est bien détruit, et non perdu.</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bl>
    <w:p>
      <w:pPr>
        <w:spacing w:after="120" w:before="280"/>
      </w:pPr>
      <w:r>
        <w:rPr>
          <w:rFonts w:ascii="Arial" w:cs="Arial" w:eastAsia="Arial" w:hAnsi="Arial"/>
          <w:b/>
          <w:bCs/>
          <w:i w:val="false"/>
          <w:iCs w:val="false"/>
          <w:color w:val="8b5cf6"/>
          <w:sz w:val="22"/>
          <w:szCs w:val="22"/>
        </w:rPr>
        <w:t xml:space="preserve">PARTIE 2 — COMPTER LES CHEMINS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8fafc" w:color="auto" w:val="clear"/>
            <w:tcMar>
              <w:top w:type="dxa" w:w="90"/>
              <w:left w:type="dxa" w:w="100"/>
              <w:bottom w:type="dxa" w:w="90"/>
              <w:right w:type="dxa" w:w="100"/>
            </w:tcMar>
            <w:vAlign w:val="center"/>
          </w:tcPr>
          <w:p>
            <w:pPr>
              <w:spacing w:after="80" w:before="0"/>
              <w:jc w:val="left"/>
            </w:pPr>
            <w:r>
              <w:rPr>
                <w:rFonts w:ascii="Arial" w:cs="Arial" w:eastAsia="Arial" w:hAnsi="Arial"/>
                <w:b/>
                <w:bCs/>
                <w:i w:val="false"/>
                <w:iCs w:val="false"/>
                <w:color w:val="8b5cf6"/>
                <w:sz w:val="21"/>
                <w:szCs w:val="21"/>
              </w:rPr>
              <w:t xml:space="preserve">Combien de chemins dans un réseau plus grand ?</w:t>
            </w:r>
          </w:p>
          <w:p>
            <w:pPr>
              <w:spacing w:after="60" w:before="0"/>
              <w:jc w:val="left"/>
            </w:pPr>
            <w:r>
              <w:rPr>
                <w:rFonts w:ascii="Arial" w:cs="Arial" w:eastAsia="Arial" w:hAnsi="Arial"/>
                <w:b w:val="false"/>
                <w:bCs w:val="false"/>
                <w:i w:val="false"/>
                <w:iCs w:val="false"/>
                <w:color w:val="334155"/>
                <w:sz w:val="19"/>
                <w:szCs w:val="19"/>
              </w:rPr>
              <w:t xml:space="preserve">Reprends le schéma de l’activité 3. Entre R1 et R5, il y avait deux étages de deux routeurs, donc deux choix successifs, soit quatre chemins possibles.</w:t>
            </w:r>
          </w:p>
          <w:p>
            <w:pPr>
              <w:spacing w:after="0" w:before="0"/>
              <w:jc w:val="left"/>
            </w:pPr>
            <w:r>
              <w:rPr>
                <w:rFonts w:ascii="Arial" w:cs="Arial" w:eastAsia="Arial" w:hAnsi="Arial"/>
                <w:b w:val="false"/>
                <w:bCs w:val="false"/>
                <w:i w:val="false"/>
                <w:iCs w:val="false"/>
                <w:color w:val="334155"/>
                <w:sz w:val="19"/>
                <w:szCs w:val="19"/>
              </w:rPr>
              <w:t xml:space="preserve">Imagine maintenant un réseau construit sur le même principe, mais avec davantage d’étages. À chaque étage, le paquet a toujours le choix entre deux routeurs.</w:t>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266"/>
        <w:gridCol w:w="4200"/>
      </w:tblGrid>
      <w:tr>
        <w:tc>
          <w:tcPr>
            <w:tcW w:type="dxa" w:w="62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42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Ta réponse</w:t>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Avec 3 étages de deux routeurs, combien de chemins différents existe-t-il ? Et avec 4 étages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Écris la formule générale donnant le nombre de chemins en fonction du nombre d’étages.</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Avec 10 étages, combien de chemins ? Le calcul se fait sans machine.</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En quoi ce résultat explique-t-il qu’il soit très difficile de couper la communication entre deux points d’Internet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Le schéma de la séance comportait pourtant deux routeurs dont la panne bloquait tout. Lesquels, et pourquoi la formule ne les protège-t-elle pas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bl>
    <w:p>
      <w:pPr>
        <w:spacing w:after="10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ede9fe" w:color="auto" w:val="clear"/>
            <w:tcMar>
              <w:top w:type="dxa" w:w="90"/>
              <w:left w:type="dxa" w:w="100"/>
              <w:bottom w:type="dxa" w:w="90"/>
              <w:right w:type="dxa" w:w="100"/>
            </w:tcMar>
            <w:vAlign w:val="center"/>
          </w:tcPr>
          <w:p>
            <w:pPr>
              <w:spacing w:after="60" w:before="0"/>
              <w:jc w:val="left"/>
            </w:pPr>
            <w:r>
              <w:rPr>
                <w:rFonts w:ascii="Arial" w:cs="Arial" w:eastAsia="Arial" w:hAnsi="Arial"/>
                <w:b/>
                <w:bCs/>
                <w:i w:val="false"/>
                <w:iCs w:val="false"/>
                <w:color w:val="7c3aed"/>
                <w:sz w:val="20"/>
                <w:szCs w:val="20"/>
              </w:rPr>
              <w:t xml:space="preserve">Le savais-tu ?</w:t>
            </w:r>
          </w:p>
          <w:p>
            <w:pPr>
              <w:spacing w:after="60" w:before="0"/>
              <w:jc w:val="left"/>
            </w:pPr>
            <w:r>
              <w:rPr>
                <w:rFonts w:ascii="Arial" w:cs="Arial" w:eastAsia="Arial" w:hAnsi="Arial"/>
                <w:b w:val="false"/>
                <w:bCs w:val="false"/>
                <w:i w:val="false"/>
                <w:iCs w:val="false"/>
                <w:color w:val="334155"/>
                <w:sz w:val="19"/>
                <w:szCs w:val="19"/>
              </w:rPr>
              <w:t xml:space="preserve">Le TTL initial d’un paquet dépend du système : souvent 64 sur Linux et macOS, 128 sur Windows. En observant le TTL restant d’une réponse, on peut donc parfois deviner quel système utilise la machine d’en face, et estimer le nombre de routeurs traversés.</w:t>
            </w:r>
          </w:p>
          <w:p>
            <w:pPr>
              <w:spacing w:after="0" w:before="0"/>
              <w:jc w:val="left"/>
            </w:pPr>
            <w:r>
              <w:rPr>
                <w:rFonts w:ascii="Arial" w:cs="Arial" w:eastAsia="Arial" w:hAnsi="Arial"/>
                <w:b w:val="false"/>
                <w:bCs w:val="false"/>
                <w:i/>
                <w:iCs/>
                <w:color w:val="334155"/>
                <w:sz w:val="19"/>
                <w:szCs w:val="19"/>
              </w:rPr>
              <w:t xml:space="preserve">Un TTL de 57 dans une réponse suggère un départ à 64 et sept routeurs traversés.</w:t>
            </w:r>
          </w:p>
        </w:tc>
      </w:tr>
    </w:tbl>
    <w:p>
      <w:pPr>
        <w:spacing w:after="120" w:before="280"/>
      </w:pPr>
      <w:r>
        <w:rPr>
          <w:rFonts w:ascii="Arial" w:cs="Arial" w:eastAsia="Arial" w:hAnsi="Arial"/>
          <w:b/>
          <w:bCs/>
          <w:i w:val="false"/>
          <w:iCs w:val="false"/>
          <w:color w:val="8b5cf6"/>
          <w:sz w:val="22"/>
          <w:szCs w:val="22"/>
        </w:rPr>
        <w:t xml:space="preserve">PARTIE 3 — QUAND UN ROUTEUR SE TROMPE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cbd5e1" w:sz="4"/>
              <w:left w:val="single" w:color="cbd5e1" w:sz="4"/>
              <w:bottom w:val="single" w:color="cbd5e1" w:sz="4"/>
              <w:right w:val="single" w:color="cbd5e1" w:sz="4"/>
            </w:tcBorders>
            <w:shd w:fill="f8fafc" w:color="auto" w:val="clear"/>
            <w:tcMar>
              <w:top w:type="dxa" w:w="90"/>
              <w:left w:type="dxa" w:w="100"/>
              <w:bottom w:type="dxa" w:w="90"/>
              <w:right w:type="dxa" w:w="100"/>
            </w:tcMar>
            <w:vAlign w:val="center"/>
          </w:tcPr>
          <w:p>
            <w:pPr>
              <w:spacing w:after="80" w:before="0"/>
              <w:jc w:val="left"/>
            </w:pPr>
            <w:r>
              <w:rPr>
                <w:rFonts w:ascii="Arial" w:cs="Arial" w:eastAsia="Arial" w:hAnsi="Arial"/>
                <w:b/>
                <w:bCs/>
                <w:i w:val="false"/>
                <w:iCs w:val="false"/>
                <w:color w:val="8b5cf6"/>
                <w:sz w:val="21"/>
                <w:szCs w:val="21"/>
              </w:rPr>
              <w:t xml:space="preserve">Quand un routeur se trompe : l’incident de 2008</w:t>
            </w:r>
          </w:p>
          <w:p>
            <w:pPr>
              <w:spacing w:after="60" w:before="0"/>
              <w:jc w:val="left"/>
            </w:pPr>
            <w:r>
              <w:rPr>
                <w:rFonts w:ascii="Arial" w:cs="Arial" w:eastAsia="Arial" w:hAnsi="Arial"/>
                <w:b w:val="false"/>
                <w:bCs w:val="false"/>
                <w:i w:val="false"/>
                <w:iCs w:val="false"/>
                <w:color w:val="334155"/>
                <w:sz w:val="19"/>
                <w:szCs w:val="19"/>
              </w:rPr>
              <w:t xml:space="preserve">Les routeurs s’échangent en permanence des annonces pour dire quelles destinations ils savent joindre. Ce système repose sur la confiance : un routeur croit ce que ses voisins lui annoncent.</w:t>
            </w:r>
          </w:p>
          <w:p>
            <w:pPr>
              <w:spacing w:after="60" w:before="0"/>
              <w:jc w:val="left"/>
            </w:pPr>
            <w:r>
              <w:rPr>
                <w:rFonts w:ascii="Arial" w:cs="Arial" w:eastAsia="Arial" w:hAnsi="Arial"/>
                <w:b w:val="false"/>
                <w:bCs w:val="false"/>
                <w:i w:val="false"/>
                <w:iCs w:val="false"/>
                <w:color w:val="334155"/>
                <w:sz w:val="19"/>
                <w:szCs w:val="19"/>
              </w:rPr>
              <w:t xml:space="preserve">En février 2008, un opérateur pakistanais a voulu bloquer YouTube sur son propre réseau. Pour cela, il a annoncé à ses routeurs qu’il était le meilleur chemin vers YouTube, afin de capter le trafic local et de le jeter.</w:t>
            </w:r>
          </w:p>
          <w:p>
            <w:pPr>
              <w:spacing w:after="0" w:before="0"/>
              <w:jc w:val="left"/>
            </w:pPr>
            <w:r>
              <w:rPr>
                <w:rFonts w:ascii="Arial" w:cs="Arial" w:eastAsia="Arial" w:hAnsi="Arial"/>
                <w:b w:val="false"/>
                <w:bCs w:val="false"/>
                <w:i w:val="false"/>
                <w:iCs w:val="false"/>
                <w:color w:val="334155"/>
                <w:sz w:val="19"/>
                <w:szCs w:val="19"/>
              </w:rPr>
              <w:t xml:space="preserve">L’annonce s’est propagée bien au-delà du Pakistan. Pendant environ deux heures, une grande partie du trafic mondial vers YouTube a été acheminée vers un réseau qui n’en voulait pas, et le service a été inaccessible dans de nombreux pays.</w:t>
            </w:r>
          </w:p>
        </w:tc>
      </w:tr>
    </w:tbl>
    <w:p>
      <w:pPr>
        <w:spacing w:after="80" w:before="0"/>
        <w:jc w:val="left"/>
      </w:pPr>
      <w:r>
        <w:rPr>
          <w:rFonts w:ascii="Arial" w:cs="Arial" w:eastAsia="Arial" w:hAnsi="Arial"/>
          <w:b w:val="false"/>
          <w:bCs w:val="false"/>
          <w:i w:val="false"/>
          <w:iCs w:val="false"/>
          <w:color w:val="334155"/>
          <w:sz w:val="20"/>
          <w:szCs w:val="20"/>
        </w:rPr>
        <w:t xml:space="preserve"/>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266"/>
        <w:gridCol w:w="4200"/>
      </w:tblGrid>
      <w:tr>
        <w:tc>
          <w:tcPr>
            <w:tcW w:type="dxa" w:w="62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42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Ta réponse</w:t>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Explique avec tes propres mots ce qui s’est passé en février 2008.</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Aucun câble n’a été coupé et aucun routeur n’est tombé en panne. Pourquoi le service était-il pourtant inaccessible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Le programme dit que les routeurs s’ajustent de proche en proche, sans carte globale. En quoi cet incident montre-t-il à la fois la force et la faiblesse de ce principe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r>
        <w:tc>
          <w:tcPr>
            <w:tcW w:type="dxa" w:w="62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À ton avis, faudrait-il vérifier les annonces des routeurs ? Quel inconvénient cela aurait-il ?</w:t>
            </w:r>
          </w:p>
        </w:tc>
        <w:tc>
          <w:tcPr>
            <w:tcW w:type="dxa" w:w="42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20"/>
                <w:szCs w:val="20"/>
              </w:rPr>
              <w:t xml:space="preserve"/>
            </w:r>
          </w:p>
          <w:p>
            <w:pPr>
              <w:spacing w:after="0" w:before="0"/>
              <w:jc w:val="left"/>
            </w:pPr>
            <w:r>
              <w:rPr>
                <w:rFonts w:ascii="Arial" w:cs="Arial" w:eastAsia="Arial" w:hAnsi="Arial"/>
                <w:b w:val="false"/>
                <w:bCs w:val="false"/>
                <w:i w:val="false"/>
                <w:iCs w:val="false"/>
                <w:color w:val="334155"/>
                <w:sz w:val="20"/>
                <w:szCs w:val="20"/>
              </w:rPr>
              <w:t xml:space="preserve"/>
            </w:r>
          </w:p>
        </w:tc>
      </w:tr>
    </w:tbl>
    <w:p>
      <w:pPr>
        <w:spacing w:after="120" w:before="280"/>
      </w:pPr>
      <w:r>
        <w:rPr>
          <w:rFonts w:ascii="Arial" w:cs="Arial" w:eastAsia="Arial" w:hAnsi="Arial"/>
          <w:b/>
          <w:bCs/>
          <w:i w:val="false"/>
          <w:iCs w:val="false"/>
          <w:color w:val="8b5cf6"/>
          <w:sz w:val="22"/>
          <w:szCs w:val="22"/>
        </w:rPr>
        <w:t xml:space="preserve">POUR ALLER PLUS LOIN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600"/>
        <w:gridCol w:w="6866"/>
      </w:tblGrid>
      <w:tr>
        <w:tc>
          <w:tcPr>
            <w:tcW w:type="dxa" w:w="3600"/>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Ressource</w:t>
            </w:r>
          </w:p>
        </w:tc>
        <w:tc>
          <w:tcPr>
            <w:tcW w:type="dxa" w:w="6866"/>
            <w:tcBorders>
              <w:top w:val="single" w:color="cbd5e1" w:sz="4"/>
              <w:left w:val="single" w:color="cbd5e1" w:sz="4"/>
              <w:bottom w:val="single" w:color="cbd5e1" w:sz="4"/>
              <w:right w:val="single" w:color="cbd5e1" w:sz="4"/>
            </w:tcBorders>
            <w:shd w:fill="f5f3ff" w:color="auto" w:val="clear"/>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1e293b"/>
                <w:sz w:val="19"/>
                <w:szCs w:val="19"/>
              </w:rPr>
              <w:t xml:space="preserve">Lien et description</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Interstices</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interstices.info — revue de vulgarisation de l’Inria : articles accessibles sur le routage et les protocoles.</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Pixees</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pixees.fr — ressources pour l’enseignement de l’informatique, dont des activités débranchées sur les réseaux.</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Filius</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Logiciel libre de simulation de réseau, cité par le vademecum SNT : permet de construire un réseau et d’observer les paquets circuler.</w:t>
            </w:r>
          </w:p>
        </w:tc>
      </w:tr>
      <w:tr>
        <w:tc>
          <w:tcPr>
            <w:tcW w:type="dxa" w:w="3600"/>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bCs/>
                <w:i w:val="false"/>
                <w:iCs w:val="false"/>
                <w:color w:val="334155"/>
                <w:sz w:val="19"/>
                <w:szCs w:val="19"/>
              </w:rPr>
              <w:t xml:space="preserve">Câbles sous-marins</w:t>
            </w:r>
          </w:p>
        </w:tc>
        <w:tc>
          <w:tcPr>
            <w:tcW w:type="dxa" w:w="6866"/>
            <w:tcBorders>
              <w:top w:val="single" w:color="cbd5e1" w:sz="4"/>
              <w:left w:val="single" w:color="cbd5e1" w:sz="4"/>
              <w:bottom w:val="single" w:color="cbd5e1" w:sz="4"/>
              <w:right w:val="single" w:color="cbd5e1" w:sz="4"/>
            </w:tcBorders>
            <w:tcMar>
              <w:top w:type="dxa" w:w="90"/>
              <w:left w:type="dxa" w:w="100"/>
              <w:bottom w:type="dxa" w:w="9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submarinecablemap.com — carte des liaisons physiques qui portent le trafic entre continents.</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94a3b8"/>
        <w:sz w:val="16"/>
        <w:szCs w:val="16"/>
      </w:rPr>
      <w:t xml:space="preserve">monprofdetechnologie.fr  --  Activité bonus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2026-09-01T03:37:38.801Z</dcterms:created>
  <dcterms:modified xsi:type="dcterms:W3CDTF">2026-09-01T03:37:38.801Z</dcterms:modified>
</cp:coreProperties>
</file>

<file path=docProps/custom.xml><?xml version="1.0" encoding="utf-8"?>
<Properties xmlns="http://schemas.openxmlformats.org/officeDocument/2006/custom-properties" xmlns:vt="http://schemas.openxmlformats.org/officeDocument/2006/docPropsVTypes"/>
</file>