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single" w:color="FFFFFF" w:sz="4"/>
              <w:left w:val="single" w:color="FFFFFF" w:sz="4"/>
              <w:bottom w:val="single" w:color="FFFFFF" w:sz="4"/>
              <w:right w:val="single" w:color="FFFFFF" w:sz="4"/>
            </w:tcBorders>
            <w:shd w:fill="0c1a2e" w:color="auto" w:val="clear"/>
            <w:tcMar>
              <w:top w:type="dxa" w:w="80"/>
              <w:left w:type="dxa" w:w="100"/>
              <w:bottom w:type="dxa" w:w="80"/>
              <w:right w:type="dxa" w:w="100"/>
            </w:tcMar>
            <w:vAlign w:val="center"/>
          </w:tcPr>
          <w:p>
            <w:pPr>
              <w:spacing w:after="40" w:before="0"/>
              <w:jc w:val="left"/>
            </w:pPr>
            <w:r>
              <w:rPr>
                <w:rFonts w:ascii="Arial" w:cs="Arial" w:eastAsia="Arial" w:hAnsi="Arial"/>
                <w:b/>
                <w:bCs/>
                <w:i w:val="false"/>
                <w:iCs w:val="false"/>
                <w:color w:val="FFFFFF"/>
                <w:sz w:val="28"/>
                <w:szCs w:val="28"/>
              </w:rPr>
              <w:t xml:space="preserve">FICHE DE DÉROULEMENT DE SÉANCE</w:t>
            </w:r>
          </w:p>
          <w:p>
            <w:pPr>
              <w:spacing w:after="0" w:before="0"/>
              <w:jc w:val="left"/>
            </w:pPr>
            <w:r>
              <w:rPr>
                <w:rFonts w:ascii="Arial" w:cs="Arial" w:eastAsia="Arial" w:hAnsi="Arial"/>
                <w:b w:val="false"/>
                <w:bCs w:val="false"/>
                <w:i w:val="false"/>
                <w:iCs w:val="false"/>
                <w:color w:val="c4b5fd"/>
                <w:sz w:val="20"/>
                <w:szCs w:val="20"/>
              </w:rPr>
              <w:t xml:space="preserve">SNT Seconde   |   Internet   |   Neutralité du Net et impacts</w:t>
            </w:r>
          </w:p>
        </w:tc>
      </w:tr>
    </w:tbl>
    <w:p>
      <w:pPr>
        <w:spacing w:after="120" w:before="260"/>
      </w:pPr>
      <w:r>
        <w:rPr>
          <w:rFonts w:ascii="Arial" w:cs="Arial" w:eastAsia="Arial" w:hAnsi="Arial"/>
          <w:b/>
          <w:bCs/>
          <w:i w:val="false"/>
          <w:iCs w:val="false"/>
          <w:color w:val="8b5cf6"/>
          <w:sz w:val="22"/>
          <w:szCs w:val="22"/>
        </w:rPr>
        <w:t xml:space="preserve">INFORMATIONS GÉNÉRALES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500"/>
        <w:gridCol w:w="2012"/>
        <w:gridCol w:w="1500"/>
        <w:gridCol w:w="2012"/>
        <w:gridCol w:w="1000"/>
        <w:gridCol w:w="2442"/>
      </w:tblGrid>
      <w:tr>
        <w:tc>
          <w:tcPr>
            <w:tcW w:type="dxa" w:w="15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Niveau</w:t>
            </w:r>
          </w:p>
        </w:tc>
        <w:tc>
          <w:tcPr>
            <w:tcW w:type="dxa" w:w="2012"/>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SNT Seconde</w:t>
            </w:r>
          </w:p>
        </w:tc>
        <w:tc>
          <w:tcPr>
            <w:tcW w:type="dxa" w:w="15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Classe</w:t>
            </w:r>
          </w:p>
        </w:tc>
        <w:tc>
          <w:tcPr>
            <w:tcW w:type="dxa" w:w="2012"/>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
            </w:r>
          </w:p>
        </w:tc>
        <w:tc>
          <w:tcPr>
            <w:tcW w:type="dxa" w:w="10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Date</w:t>
            </w:r>
          </w:p>
        </w:tc>
        <w:tc>
          <w:tcPr>
            <w:tcW w:type="dxa" w:w="2442"/>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
            </w:r>
          </w:p>
        </w:tc>
      </w:tr>
      <w:tr>
        <w:tc>
          <w:tcPr>
            <w:tcW w:type="dxa" w:w="15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Durée</w:t>
            </w:r>
          </w:p>
        </w:tc>
        <w:tc>
          <w:tcPr>
            <w:tcW w:type="dxa" w:w="2012"/>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1h30</w:t>
            </w:r>
          </w:p>
        </w:tc>
        <w:tc>
          <w:tcPr>
            <w:tcW w:type="dxa" w:w="15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Séance</w:t>
            </w:r>
          </w:p>
        </w:tc>
        <w:tc>
          <w:tcPr>
            <w:tcW w:type="dxa" w:w="2012"/>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5 / 5</w:t>
            </w:r>
          </w:p>
        </w:tc>
        <w:tc>
          <w:tcPr>
            <w:tcW w:type="dxa" w:w="10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Effectif</w:t>
            </w:r>
          </w:p>
        </w:tc>
        <w:tc>
          <w:tcPr>
            <w:tcW w:type="dxa" w:w="2442"/>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
            </w:r>
          </w:p>
        </w:tc>
      </w:tr>
    </w:tbl>
    <w:p>
      <w:pPr>
        <w:spacing w:after="80" w:before="0"/>
        <w:jc w:val="left"/>
      </w:pPr>
      <w:r>
        <w:rPr>
          <w:rFonts w:ascii="Arial" w:cs="Arial" w:eastAsia="Arial" w:hAnsi="Arial"/>
          <w:b w:val="false"/>
          <w:bCs w:val="false"/>
          <w:i w:val="false"/>
          <w:iCs w:val="false"/>
          <w:color w:val="334155"/>
          <w:sz w:val="20"/>
          <w:szCs w:val="20"/>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500"/>
        <w:gridCol w:w="8966"/>
      </w:tblGrid>
      <w:tr>
        <w:tc>
          <w:tcPr>
            <w:tcW w:type="dxa" w:w="15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Séquence</w:t>
            </w:r>
          </w:p>
        </w:tc>
        <w:tc>
          <w:tcPr>
            <w:tcW w:type="dxa" w:w="89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Internet — Neutralité du Net et impacts (dernière séance du thème)</w:t>
            </w:r>
          </w:p>
        </w:tc>
      </w:tr>
      <w:tr>
        <w:tc>
          <w:tcPr>
            <w:tcW w:type="dxa" w:w="15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Note de planification</w:t>
            </w:r>
          </w:p>
        </w:tc>
        <w:tc>
          <w:tcPr>
            <w:tcW w:type="dxa" w:w="89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30" w:before="0"/>
              <w:jc w:val="left"/>
            </w:pPr>
            <w:r>
              <w:rPr>
                <w:rFonts w:ascii="Arial" w:cs="Arial" w:eastAsia="Arial" w:hAnsi="Arial"/>
                <w:b w:val="false"/>
                <w:bCs w:val="false"/>
                <w:i w:val="false"/>
                <w:iCs w:val="false"/>
                <w:color w:val="334155"/>
                <w:sz w:val="19"/>
                <w:szCs w:val="19"/>
              </w:rPr>
              <w:t xml:space="preserve"/>
            </w:r>
          </w:p>
          <w:p>
            <w:pPr>
              <w:spacing w:after="30" w:before="0"/>
              <w:jc w:val="left"/>
            </w:pPr>
            <w:r>
              <w:rPr>
                <w:rFonts w:ascii="Arial" w:cs="Arial" w:eastAsia="Arial" w:hAnsi="Arial"/>
                <w:b w:val="false"/>
                <w:bCs w:val="false"/>
                <w:i w:val="false"/>
                <w:iCs w:val="false"/>
                <w:color w:val="334155"/>
                <w:sz w:val="19"/>
                <w:szCs w:val="19"/>
              </w:rPr>
              <w:t xml:space="preserve"/>
            </w:r>
          </w:p>
        </w:tc>
      </w:tr>
    </w:tbl>
    <w:p>
      <w:pPr>
        <w:spacing w:after="120" w:before="260"/>
      </w:pPr>
      <w:r>
        <w:rPr>
          <w:rFonts w:ascii="Arial" w:cs="Arial" w:eastAsia="Arial" w:hAnsi="Arial"/>
          <w:b/>
          <w:bCs/>
          <w:i w:val="false"/>
          <w:iCs w:val="false"/>
          <w:color w:val="8b5cf6"/>
          <w:sz w:val="22"/>
          <w:szCs w:val="22"/>
        </w:rPr>
        <w:t xml:space="preserve">OBJECTIFS, SUPPORT ET MATÉRIEL</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000"/>
        <w:gridCol w:w="8466"/>
      </w:tblGrid>
      <w:tr>
        <w:tc>
          <w:tcPr>
            <w:tcW w:type="dxa" w:w="20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Capacités visées</w:t>
            </w:r>
          </w:p>
        </w:tc>
        <w:tc>
          <w:tcPr>
            <w:tcW w:type="dxa" w:w="8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30" w:before="0"/>
              <w:jc w:val="left"/>
            </w:pPr>
            <w:r>
              <w:rPr>
                <w:rFonts w:ascii="Arial" w:cs="Arial" w:eastAsia="Arial" w:hAnsi="Arial"/>
                <w:b w:val="false"/>
                <w:bCs w:val="false"/>
                <w:i w:val="false"/>
                <w:iCs w:val="false"/>
                <w:color w:val="334155"/>
                <w:sz w:val="19"/>
                <w:szCs w:val="19"/>
              </w:rPr>
              <w:t xml:space="preserve">Caractériser quelques types de réseaux physiques : obsolètes ou actuels, rapides ou lents, filaires ou non</w:t>
            </w:r>
          </w:p>
          <w:p>
            <w:pPr>
              <w:spacing w:after="30" w:before="0"/>
              <w:jc w:val="left"/>
            </w:pPr>
            <w:r>
              <w:rPr>
                <w:rFonts w:ascii="Arial" w:cs="Arial" w:eastAsia="Arial" w:hAnsi="Arial"/>
                <w:b w:val="false"/>
                <w:bCs w:val="false"/>
                <w:i w:val="false"/>
                <w:iCs w:val="false"/>
                <w:color w:val="334155"/>
                <w:sz w:val="19"/>
                <w:szCs w:val="19"/>
              </w:rPr>
              <w:t xml:space="preserve">Caractériser l’ordre de grandeur du trafic de données sur internet et son évolution</w:t>
            </w:r>
          </w:p>
          <w:p>
            <w:pPr>
              <w:spacing w:after="30" w:before="0"/>
              <w:jc w:val="left"/>
            </w:pPr>
            <w:r>
              <w:rPr>
                <w:rFonts w:ascii="Arial" w:cs="Arial" w:eastAsia="Arial" w:hAnsi="Arial"/>
                <w:b w:val="false"/>
                <w:bCs w:val="false"/>
                <w:i w:val="false"/>
                <w:iCs w:val="false"/>
                <w:color w:val="334155"/>
                <w:sz w:val="19"/>
                <w:szCs w:val="19"/>
              </w:rPr>
              <w:t xml:space="preserve">Expliquer l’indépendance d’internet vis-à-vis du réseau physique</w:t>
            </w:r>
          </w:p>
          <w:p>
            <w:pPr>
              <w:spacing w:after="30" w:before="0"/>
              <w:jc w:val="left"/>
            </w:pPr>
            <w:r>
              <w:rPr>
                <w:rFonts w:ascii="Arial" w:cs="Arial" w:eastAsia="Arial" w:hAnsi="Arial"/>
                <w:b w:val="false"/>
                <w:bCs w:val="false"/>
                <w:i w:val="false"/>
                <w:iCs w:val="false"/>
                <w:color w:val="334155"/>
                <w:sz w:val="19"/>
                <w:szCs w:val="19"/>
              </w:rPr>
              <w:t xml:space="preserve">Décrire le principe de neutralité du Net et reconnaître une atteinte</w:t>
            </w:r>
          </w:p>
        </w:tc>
      </w:tr>
      <w:tr>
        <w:tc>
          <w:tcPr>
            <w:tcW w:type="dxa" w:w="20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Support</w:t>
            </w:r>
          </w:p>
        </w:tc>
        <w:tc>
          <w:tcPr>
            <w:tcW w:type="dxa" w:w="8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Article en ligne : monprofdetechnologie.fr/snt/internet/neutralite-du-net</w:t>
            </w:r>
          </w:p>
        </w:tc>
      </w:tr>
      <w:tr>
        <w:tc>
          <w:tcPr>
            <w:tcW w:type="dxa" w:w="20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Matériel</w:t>
            </w:r>
          </w:p>
        </w:tc>
        <w:tc>
          <w:tcPr>
            <w:tcW w:type="dxa" w:w="8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1 ordinateur par élève (idéal) — 1 par groupe (minimum) — une calculatrice pour l’activité 2</w:t>
            </w:r>
          </w:p>
        </w:tc>
      </w:tr>
      <w:tr>
        <w:tc>
          <w:tcPr>
            <w:tcW w:type="dxa" w:w="20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À préparer</w:t>
            </w:r>
          </w:p>
        </w:tc>
        <w:tc>
          <w:tcPr>
            <w:tcW w:type="dxa" w:w="8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Rien de particulier : la séance se fait entièrement en ligne. Vérifier que les trois schémas s’affichent sur les postes.</w:t>
            </w:r>
          </w:p>
        </w:tc>
      </w:tr>
      <w:tr>
        <w:tc>
          <w:tcPr>
            <w:tcW w:type="dxa" w:w="20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Prérequis</w:t>
            </w:r>
          </w:p>
        </w:tc>
        <w:tc>
          <w:tcPr>
            <w:tcW w:type="dxa" w:w="8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Séances 1 à 4 du thème. La notion de bande passante partagée, vue en séance 4, est rappelée dans les énoncés.</w:t>
            </w:r>
          </w:p>
        </w:tc>
      </w:tr>
      <w:tr>
        <w:tc>
          <w:tcPr>
            <w:tcW w:type="dxa" w:w="20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Point de programme</w:t>
            </w:r>
          </w:p>
        </w:tc>
        <w:tc>
          <w:tcPr>
            <w:tcW w:type="dxa" w:w="8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La neutralité du Net figure dans les impacts sur les pratiques humaines, non dans le tableau des capacités attendues. Elle n’est donc pas évaluable comme telle : la question 2 de l’activité 3 appelle un avis argumenté.</w:t>
            </w:r>
          </w:p>
        </w:tc>
      </w:tr>
    </w:tbl>
    <w:p>
      <w:pPr>
        <w:spacing w:after="120" w:before="260"/>
      </w:pPr>
      <w:r>
        <w:rPr>
          <w:rFonts w:ascii="Arial" w:cs="Arial" w:eastAsia="Arial" w:hAnsi="Arial"/>
          <w:b/>
          <w:bCs/>
          <w:i w:val="false"/>
          <w:iCs w:val="false"/>
          <w:color w:val="8b5cf6"/>
          <w:sz w:val="22"/>
          <w:szCs w:val="22"/>
        </w:rPr>
        <w:t xml:space="preserve">COMPÉTENCES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00"/>
        <w:gridCol w:w="3966"/>
        <w:gridCol w:w="1500"/>
      </w:tblGrid>
      <w:tr>
        <w:tc>
          <w:tcPr>
            <w:tcW w:type="dxa" w:w="50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Capacité attendue</w:t>
            </w:r>
          </w:p>
        </w:tc>
        <w:tc>
          <w:tcPr>
            <w:tcW w:type="dxa" w:w="3966"/>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Référence programme</w:t>
            </w:r>
          </w:p>
        </w:tc>
        <w:tc>
          <w:tcPr>
            <w:tcW w:type="dxa" w:w="15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Évaluation</w:t>
            </w:r>
          </w:p>
        </w:tc>
      </w:tr>
      <w:tr>
        <w:tc>
          <w:tcPr>
            <w:tcW w:type="dxa" w:w="50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Caractériser quelques types de réseaux physiques : obsolètes ou actuels, rapides ou lents, filaires ou non</w:t>
            </w:r>
          </w:p>
        </w:tc>
        <w:tc>
          <w:tcPr>
            <w:tcW w:type="dxa" w:w="39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iCs/>
                <w:color w:val="64748b"/>
                <w:sz w:val="18"/>
                <w:szCs w:val="18"/>
              </w:rPr>
              <w:t xml:space="preserve">Programme SNT — Indépendance d’internet par rapport au réseau physique</w:t>
            </w:r>
          </w:p>
        </w:tc>
        <w:tc>
          <w:tcPr>
            <w:tcW w:type="dxa" w:w="15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Activité 1</w:t>
            </w:r>
          </w:p>
        </w:tc>
      </w:tr>
      <w:tr>
        <w:tc>
          <w:tcPr>
            <w:tcW w:type="dxa" w:w="50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Caractériser l’ordre de grandeur du trafic de données sur internet et son évolution</w:t>
            </w:r>
          </w:p>
        </w:tc>
        <w:tc>
          <w:tcPr>
            <w:tcW w:type="dxa" w:w="39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iCs/>
                <w:color w:val="64748b"/>
                <w:sz w:val="18"/>
                <w:szCs w:val="18"/>
              </w:rPr>
              <w:t xml:space="preserve">Programme SNT — Indépendance d’internet par rapport au réseau physique</w:t>
            </w:r>
          </w:p>
        </w:tc>
        <w:tc>
          <w:tcPr>
            <w:tcW w:type="dxa" w:w="15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Activité 2</w:t>
            </w:r>
          </w:p>
        </w:tc>
      </w:tr>
      <w:tr>
        <w:tc>
          <w:tcPr>
            <w:tcW w:type="dxa" w:w="50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Expliquer que les protocoles sont logiciels, donc indépendants du support</w:t>
            </w:r>
          </w:p>
        </w:tc>
        <w:tc>
          <w:tcPr>
            <w:tcW w:type="dxa" w:w="39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iCs/>
                <w:color w:val="64748b"/>
                <w:sz w:val="18"/>
                <w:szCs w:val="18"/>
              </w:rPr>
              <w:t xml:space="preserve">Programme SNT — Internet, les machines</w:t>
            </w:r>
          </w:p>
        </w:tc>
        <w:tc>
          <w:tcPr>
            <w:tcW w:type="dxa" w:w="15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Activité 1, Q3</w:t>
            </w:r>
          </w:p>
        </w:tc>
      </w:tr>
      <w:tr>
        <w:tc>
          <w:tcPr>
            <w:tcW w:type="dxa" w:w="50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Décrire le principe de neutralité du Net et ses remises en cause</w:t>
            </w:r>
          </w:p>
        </w:tc>
        <w:tc>
          <w:tcPr>
            <w:tcW w:type="dxa" w:w="39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iCs/>
                <w:color w:val="64748b"/>
                <w:sz w:val="18"/>
                <w:szCs w:val="18"/>
              </w:rPr>
              <w:t xml:space="preserve">Programme SNT — Impacts sur les pratiques humaines</w:t>
            </w:r>
          </w:p>
        </w:tc>
        <w:tc>
          <w:tcPr>
            <w:tcW w:type="dxa" w:w="15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Activité 3</w:t>
            </w:r>
          </w:p>
        </w:tc>
      </w:tr>
      <w:tr>
        <w:tc>
          <w:tcPr>
            <w:tcW w:type="dxa" w:w="50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Produire une trace écrite structurée à partir d’activités de recherche</w:t>
            </w:r>
          </w:p>
        </w:tc>
        <w:tc>
          <w:tcPr>
            <w:tcW w:type="dxa" w:w="39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iCs/>
                <w:color w:val="64748b"/>
                <w:sz w:val="18"/>
                <w:szCs w:val="18"/>
              </w:rPr>
              <w:t xml:space="preserve">Compétences transversales</w:t>
            </w:r>
          </w:p>
        </w:tc>
        <w:tc>
          <w:tcPr>
            <w:tcW w:type="dxa" w:w="15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Production — PDF</w:t>
            </w:r>
          </w:p>
        </w:tc>
      </w:tr>
    </w:tbl>
    <w:p>
      <w:pPr>
        <w:spacing w:after="120" w:before="260"/>
      </w:pPr>
      <w:r>
        <w:rPr>
          <w:rFonts w:ascii="Arial" w:cs="Arial" w:eastAsia="Arial" w:hAnsi="Arial"/>
          <w:b/>
          <w:bCs/>
          <w:i w:val="false"/>
          <w:iCs w:val="false"/>
          <w:color w:val="8b5cf6"/>
          <w:sz w:val="22"/>
          <w:szCs w:val="22"/>
        </w:rPr>
        <w:t xml:space="preserve">DÉROULEMENT DE LA SÉANCE (1h30)</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700"/>
        <w:gridCol w:w="6266"/>
        <w:gridCol w:w="2500"/>
      </w:tblGrid>
      <w:tr>
        <w:tc>
          <w:tcPr>
            <w:tcW w:type="dxa" w:w="17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Phase / Durée</w:t>
            </w:r>
          </w:p>
        </w:tc>
        <w:tc>
          <w:tcPr>
            <w:tcW w:type="dxa" w:w="6266"/>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Consignes et déroulement</w:t>
            </w:r>
          </w:p>
        </w:tc>
        <w:tc>
          <w:tcPr>
            <w:tcW w:type="dxa" w:w="25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Points de vigilance</w:t>
            </w:r>
          </w:p>
        </w:tc>
      </w:tr>
      <w:tr>
        <w:tc>
          <w:tcPr>
            <w:tcW w:type="dxa" w:w="1700"/>
            <w:tcBorders>
              <w:top w:val="single" w:color="cbd5e1" w:sz="4"/>
              <w:left w:val="single" w:color="cbd5e1" w:sz="4"/>
              <w:bottom w:val="single" w:color="cbd5e1" w:sz="4"/>
              <w:right w:val="single" w:color="cbd5e1" w:sz="4"/>
            </w:tcBorders>
            <w:shd w:fill="8b5cf6" w:color="auto" w:val="clear"/>
            <w:tcMar>
              <w:top w:type="dxa" w:w="80"/>
              <w:left w:type="dxa" w:w="100"/>
              <w:bottom w:type="dxa" w:w="80"/>
              <w:right w:type="dxa" w:w="100"/>
            </w:tcMar>
            <w:vAlign w:val="center"/>
          </w:tcPr>
          <w:p>
            <w:pPr>
              <w:spacing w:after="30" w:before="0"/>
              <w:jc w:val="left"/>
            </w:pPr>
            <w:r>
              <w:rPr>
                <w:rFonts w:ascii="Arial" w:cs="Arial" w:eastAsia="Arial" w:hAnsi="Arial"/>
                <w:b/>
                <w:bCs/>
                <w:i w:val="false"/>
                <w:iCs w:val="false"/>
                <w:color w:val="FFFFFF"/>
                <w:sz w:val="19"/>
                <w:szCs w:val="19"/>
              </w:rPr>
              <w:t xml:space="preserve">MISE EN SITUATION</w:t>
            </w:r>
          </w:p>
          <w:p>
            <w:pPr>
              <w:spacing w:after="0" w:before="0"/>
              <w:jc w:val="left"/>
            </w:pPr>
            <w:r>
              <w:rPr>
                <w:rFonts w:ascii="Arial" w:cs="Arial" w:eastAsia="Arial" w:hAnsi="Arial"/>
                <w:b w:val="false"/>
                <w:bCs w:val="false"/>
                <w:i w:val="false"/>
                <w:iCs w:val="false"/>
                <w:color w:val="e9d5ff"/>
                <w:sz w:val="18"/>
                <w:szCs w:val="18"/>
              </w:rPr>
              <w:t xml:space="preserve">12 min</w:t>
            </w:r>
          </w:p>
        </w:tc>
        <w:tc>
          <w:tcPr>
            <w:tcW w:type="dxa" w:w="6266"/>
            <w:tcBorders>
              <w:top w:val="single" w:color="cbd5e1" w:sz="4"/>
              <w:left w:val="single" w:color="cbd5e1" w:sz="4"/>
              <w:bottom w:val="single" w:color="cbd5e1" w:sz="4"/>
              <w:right w:val="single" w:color="cbd5e1" w:sz="4"/>
            </w:tcBorders>
            <w:shd w:fill="f8fafc" w:color="auto" w:val="clear"/>
            <w:tcMar>
              <w:top w:type="dxa" w:w="80"/>
              <w:left w:type="dxa" w:w="100"/>
              <w:bottom w:type="dxa" w:w="80"/>
              <w:right w:type="dxa" w:w="100"/>
            </w:tcMar>
            <w:vAlign w:val="center"/>
          </w:tcPr>
          <w:p>
            <w:pPr>
              <w:spacing w:after="40" w:before="0"/>
              <w:jc w:val="left"/>
            </w:pPr>
            <w:r>
              <w:rPr>
                <w:rFonts w:ascii="Arial" w:cs="Arial" w:eastAsia="Arial" w:hAnsi="Arial"/>
                <w:b/>
                <w:bCs/>
                <w:i w:val="false"/>
                <w:iCs w:val="false"/>
                <w:color w:val="334155"/>
                <w:sz w:val="19"/>
                <w:szCs w:val="19"/>
              </w:rPr>
              <w:t xml:space="preserve">Le voyage d’un message</w:t>
            </w:r>
          </w:p>
          <w:p>
            <w:pPr>
              <w:spacing w:after="40" w:before="0"/>
              <w:jc w:val="left"/>
            </w:pPr>
            <w:r>
              <w:rPr>
                <w:rFonts w:ascii="Arial" w:cs="Arial" w:eastAsia="Arial" w:hAnsi="Arial"/>
                <w:b w:val="false"/>
                <w:bCs w:val="false"/>
                <w:i w:val="false"/>
                <w:iCs w:val="false"/>
                <w:color w:val="334155"/>
                <w:sz w:val="19"/>
                <w:szCs w:val="19"/>
              </w:rPr>
              <w:t xml:space="preserve">La page présente un trajet en cinq étapes : téléphone, box, central de l’opérateur, câble sous-marin, antenne mobile. Chaque étape se déplie au clic et révèle la technologie employée.</w:t>
            </w:r>
          </w:p>
          <w:p>
            <w:pPr>
              <w:spacing w:after="40" w:before="0"/>
              <w:jc w:val="left"/>
            </w:pPr>
            <w:r>
              <w:rPr>
                <w:rFonts w:ascii="Arial" w:cs="Arial" w:eastAsia="Arial" w:hAnsi="Arial"/>
                <w:b w:val="false"/>
                <w:bCs w:val="false"/>
                <w:i w:val="false"/>
                <w:iCs w:val="false"/>
                <w:color w:val="334155"/>
                <w:sz w:val="19"/>
                <w:szCs w:val="19"/>
              </w:rPr>
              <w:t xml:space="preserve">Laisser les élèves parcourir le trajet seuls, puis écrire leur hypothèse : comment un même message traverse-t-il cinq technologies sans jamais être retraduit ?</w:t>
            </w:r>
          </w:p>
          <w:p>
            <w:pPr>
              <w:spacing w:after="40" w:before="0"/>
              <w:jc w:val="left"/>
            </w:pPr>
            <w:r>
              <w:rPr>
                <w:rFonts w:ascii="Arial" w:cs="Arial" w:eastAsia="Arial" w:hAnsi="Arial"/>
                <w:b w:val="false"/>
                <w:bCs w:val="false"/>
                <w:i w:val="false"/>
                <w:iCs w:val="false"/>
                <w:color w:val="334155"/>
                <w:sz w:val="19"/>
                <w:szCs w:val="19"/>
              </w:rPr>
              <w:t xml:space="preserve">Recueillir deux ou trois réponses à l’oral, sans trancher.</w:t>
            </w:r>
          </w:p>
        </w:tc>
        <w:tc>
          <w:tcPr>
            <w:tcW w:type="dxa" w:w="25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30" w:before="0"/>
              <w:jc w:val="left"/>
            </w:pPr>
            <w:r>
              <w:rPr>
                <w:rFonts w:ascii="Arial" w:cs="Arial" w:eastAsia="Arial" w:hAnsi="Arial"/>
                <w:b w:val="false"/>
                <w:bCs w:val="false"/>
                <w:i/>
                <w:iCs/>
                <w:color w:val="64748b"/>
                <w:sz w:val="18"/>
                <w:szCs w:val="18"/>
              </w:rPr>
              <w:t xml:space="preserve">•  Ne pas donner la réponse — protocoles logiciels — à ce stade. Elle sera construite en activité 1.</w:t>
            </w:r>
          </w:p>
          <w:p>
            <w:pPr>
              <w:spacing w:after="30" w:before="0"/>
              <w:jc w:val="left"/>
            </w:pPr>
            <w:r>
              <w:rPr>
                <w:rFonts w:ascii="Arial" w:cs="Arial" w:eastAsia="Arial" w:hAnsi="Arial"/>
                <w:b w:val="false"/>
                <w:bCs w:val="false"/>
                <w:i/>
                <w:iCs/>
                <w:color w:val="64748b"/>
                <w:sz w:val="18"/>
                <w:szCs w:val="18"/>
              </w:rPr>
              <w:t xml:space="preserve">•  Le câble sous-marin surprend souvent : la plupart des élèves croient que l’international passe par satellite.</w:t>
            </w:r>
          </w:p>
        </w:tc>
      </w:tr>
      <w:tr>
        <w:tc>
          <w:tcPr>
            <w:tcW w:type="dxa" w:w="1700"/>
            <w:tcBorders>
              <w:top w:val="single" w:color="cbd5e1" w:sz="4"/>
              <w:left w:val="single" w:color="cbd5e1" w:sz="4"/>
              <w:bottom w:val="single" w:color="cbd5e1" w:sz="4"/>
              <w:right w:val="single" w:color="cbd5e1" w:sz="4"/>
            </w:tcBorders>
            <w:shd w:fill="8b5cf6" w:color="auto" w:val="clear"/>
            <w:tcMar>
              <w:top w:type="dxa" w:w="80"/>
              <w:left w:type="dxa" w:w="100"/>
              <w:bottom w:type="dxa" w:w="80"/>
              <w:right w:type="dxa" w:w="100"/>
            </w:tcMar>
            <w:vAlign w:val="center"/>
          </w:tcPr>
          <w:p>
            <w:pPr>
              <w:spacing w:after="30" w:before="0"/>
              <w:jc w:val="left"/>
            </w:pPr>
            <w:r>
              <w:rPr>
                <w:rFonts w:ascii="Arial" w:cs="Arial" w:eastAsia="Arial" w:hAnsi="Arial"/>
                <w:b/>
                <w:bCs/>
                <w:i w:val="false"/>
                <w:iCs w:val="false"/>
                <w:color w:val="FFFFFF"/>
                <w:sz w:val="19"/>
                <w:szCs w:val="19"/>
              </w:rPr>
              <w:t xml:space="preserve">LEXIQUE</w:t>
            </w:r>
          </w:p>
          <w:p>
            <w:pPr>
              <w:spacing w:after="0" w:before="0"/>
              <w:jc w:val="left"/>
            </w:pPr>
            <w:r>
              <w:rPr>
                <w:rFonts w:ascii="Arial" w:cs="Arial" w:eastAsia="Arial" w:hAnsi="Arial"/>
                <w:b w:val="false"/>
                <w:bCs w:val="false"/>
                <w:i w:val="false"/>
                <w:iCs w:val="false"/>
                <w:color w:val="e9d5ff"/>
                <w:sz w:val="18"/>
                <w:szCs w:val="18"/>
              </w:rPr>
              <w:t xml:space="preserve">5 min</w:t>
            </w:r>
          </w:p>
        </w:tc>
        <w:tc>
          <w:tcPr>
            <w:tcW w:type="dxa" w:w="6266"/>
            <w:tcBorders>
              <w:top w:val="single" w:color="cbd5e1" w:sz="4"/>
              <w:left w:val="single" w:color="cbd5e1" w:sz="4"/>
              <w:bottom w:val="single" w:color="cbd5e1" w:sz="4"/>
              <w:right w:val="single" w:color="cbd5e1" w:sz="4"/>
            </w:tcBorders>
            <w:shd w:fill="f8fafc" w:color="auto" w:val="clear"/>
            <w:tcMar>
              <w:top w:type="dxa" w:w="80"/>
              <w:left w:type="dxa" w:w="100"/>
              <w:bottom w:type="dxa" w:w="80"/>
              <w:right w:type="dxa" w:w="100"/>
            </w:tcMar>
            <w:vAlign w:val="center"/>
          </w:tcPr>
          <w:p>
            <w:pPr>
              <w:spacing w:after="40" w:before="0"/>
              <w:jc w:val="left"/>
            </w:pPr>
            <w:r>
              <w:rPr>
                <w:rFonts w:ascii="Arial" w:cs="Arial" w:eastAsia="Arial" w:hAnsi="Arial"/>
                <w:b/>
                <w:bCs/>
                <w:i w:val="false"/>
                <w:iCs w:val="false"/>
                <w:color w:val="334155"/>
                <w:sz w:val="19"/>
                <w:szCs w:val="19"/>
              </w:rPr>
              <w:t xml:space="preserve">Lecture des six mots clés</w:t>
            </w:r>
          </w:p>
          <w:p>
            <w:pPr>
              <w:spacing w:after="40" w:before="0"/>
              <w:jc w:val="left"/>
            </w:pPr>
            <w:r>
              <w:rPr>
                <w:rFonts w:ascii="Arial" w:cs="Arial" w:eastAsia="Arial" w:hAnsi="Arial"/>
                <w:b w:val="false"/>
                <w:bCs w:val="false"/>
                <w:i w:val="false"/>
                <w:iCs w:val="false"/>
                <w:color w:val="334155"/>
                <w:sz w:val="19"/>
                <w:szCs w:val="19"/>
              </w:rPr>
              <w:t xml:space="preserve">Réseau physique, débit, fibre optique, trafic, protocole logiciel, neutralité du Net.</w:t>
            </w:r>
          </w:p>
          <w:p>
            <w:pPr>
              <w:spacing w:after="40" w:before="0"/>
              <w:jc w:val="left"/>
            </w:pPr>
            <w:r>
              <w:rPr>
                <w:rFonts w:ascii="Arial" w:cs="Arial" w:eastAsia="Arial" w:hAnsi="Arial"/>
                <w:b w:val="false"/>
                <w:bCs w:val="false"/>
                <w:i w:val="false"/>
                <w:iCs w:val="false"/>
                <w:color w:val="334155"/>
                <w:sz w:val="19"/>
                <w:szCs w:val="19"/>
              </w:rPr>
              <w:t xml:space="preserve">Insister sur protocole logiciel : c’est la clé de toute la séance, et la question 3 de l’activité 1 y renvoie explicitement.</w:t>
            </w:r>
          </w:p>
        </w:tc>
        <w:tc>
          <w:tcPr>
            <w:tcW w:type="dxa" w:w="25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30" w:before="0"/>
              <w:jc w:val="left"/>
            </w:pPr>
            <w:r>
              <w:rPr>
                <w:rFonts w:ascii="Arial" w:cs="Arial" w:eastAsia="Arial" w:hAnsi="Arial"/>
                <w:b w:val="false"/>
                <w:bCs w:val="false"/>
                <w:i/>
                <w:iCs/>
                <w:color w:val="64748b"/>
                <w:sz w:val="18"/>
                <w:szCs w:val="18"/>
              </w:rPr>
              <w:t xml:space="preserve">•  Le mot débit sera manipulé en chiffres dès l’activité 1 : s’assurer que l’unité, le mégabit par seconde, est comprise.</w:t>
            </w:r>
          </w:p>
        </w:tc>
      </w:tr>
      <w:tr>
        <w:tc>
          <w:tcPr>
            <w:tcW w:type="dxa" w:w="1700"/>
            <w:tcBorders>
              <w:top w:val="single" w:color="cbd5e1" w:sz="4"/>
              <w:left w:val="single" w:color="cbd5e1" w:sz="4"/>
              <w:bottom w:val="single" w:color="cbd5e1" w:sz="4"/>
              <w:right w:val="single" w:color="cbd5e1" w:sz="4"/>
            </w:tcBorders>
            <w:shd w:fill="8b5cf6" w:color="auto" w:val="clear"/>
            <w:tcMar>
              <w:top w:type="dxa" w:w="80"/>
              <w:left w:type="dxa" w:w="100"/>
              <w:bottom w:type="dxa" w:w="80"/>
              <w:right w:type="dxa" w:w="100"/>
            </w:tcMar>
            <w:vAlign w:val="center"/>
          </w:tcPr>
          <w:p>
            <w:pPr>
              <w:spacing w:after="30" w:before="0"/>
              <w:jc w:val="left"/>
            </w:pPr>
            <w:r>
              <w:rPr>
                <w:rFonts w:ascii="Arial" w:cs="Arial" w:eastAsia="Arial" w:hAnsi="Arial"/>
                <w:b/>
                <w:bCs/>
                <w:i w:val="false"/>
                <w:iCs w:val="false"/>
                <w:color w:val="FFFFFF"/>
                <w:sz w:val="19"/>
                <w:szCs w:val="19"/>
              </w:rPr>
              <w:t xml:space="preserve">ACTIVITÉ 1</w:t>
            </w:r>
          </w:p>
          <w:p>
            <w:pPr>
              <w:spacing w:after="0" w:before="0"/>
              <w:jc w:val="left"/>
            </w:pPr>
            <w:r>
              <w:rPr>
                <w:rFonts w:ascii="Arial" w:cs="Arial" w:eastAsia="Arial" w:hAnsi="Arial"/>
                <w:b w:val="false"/>
                <w:bCs w:val="false"/>
                <w:i w:val="false"/>
                <w:iCs w:val="false"/>
                <w:color w:val="e9d5ff"/>
                <w:sz w:val="18"/>
                <w:szCs w:val="18"/>
              </w:rPr>
              <w:t xml:space="preserve">Cartes — 25 min</w:t>
            </w:r>
          </w:p>
        </w:tc>
        <w:tc>
          <w:tcPr>
            <w:tcW w:type="dxa" w:w="6266"/>
            <w:tcBorders>
              <w:top w:val="single" w:color="cbd5e1" w:sz="4"/>
              <w:left w:val="single" w:color="cbd5e1" w:sz="4"/>
              <w:bottom w:val="single" w:color="cbd5e1" w:sz="4"/>
              <w:right w:val="single" w:color="cbd5e1" w:sz="4"/>
            </w:tcBorders>
            <w:shd w:fill="f8fafc" w:color="auto" w:val="clear"/>
            <w:tcMar>
              <w:top w:type="dxa" w:w="80"/>
              <w:left w:type="dxa" w:w="100"/>
              <w:bottom w:type="dxa" w:w="80"/>
              <w:right w:type="dxa" w:w="100"/>
            </w:tcMar>
            <w:vAlign w:val="center"/>
          </w:tcPr>
          <w:p>
            <w:pPr>
              <w:spacing w:after="40" w:before="0"/>
              <w:jc w:val="left"/>
            </w:pPr>
            <w:r>
              <w:rPr>
                <w:rFonts w:ascii="Arial" w:cs="Arial" w:eastAsia="Arial" w:hAnsi="Arial"/>
                <w:b/>
                <w:bCs/>
                <w:i w:val="false"/>
                <w:iCs w:val="false"/>
                <w:color w:val="334155"/>
                <w:sz w:val="19"/>
                <w:szCs w:val="19"/>
              </w:rPr>
              <w:t xml:space="preserve">Huit cartes à retourner</w:t>
            </w:r>
          </w:p>
          <w:p>
            <w:pPr>
              <w:spacing w:after="40" w:before="0"/>
              <w:jc w:val="left"/>
            </w:pPr>
            <w:r>
              <w:rPr>
                <w:rFonts w:ascii="Arial" w:cs="Arial" w:eastAsia="Arial" w:hAnsi="Arial"/>
                <w:b w:val="false"/>
                <w:bCs w:val="false"/>
                <w:i w:val="false"/>
                <w:iCs w:val="false"/>
                <w:color w:val="334155"/>
                <w:sz w:val="19"/>
                <w:szCs w:val="19"/>
              </w:rPr>
              <w:t xml:space="preserve">RTC, ADSL, fibre, Ethernet, Wi-Fi, 4G, 5G, câble sous-marin. Chaque carte révèle au clic son année, son débit, sa nature et son état de service. Les cartes restent affichées pendant les questions.</w:t>
            </w:r>
          </w:p>
          <w:p>
            <w:pPr>
              <w:spacing w:after="40" w:before="0"/>
              <w:jc w:val="left"/>
            </w:pPr>
            <w:r>
              <w:rPr>
                <w:rFonts w:ascii="Arial" w:cs="Arial" w:eastAsia="Arial" w:hAnsi="Arial"/>
                <w:b w:val="false"/>
                <w:bCs w:val="false"/>
                <w:i w:val="false"/>
                <w:iCs w:val="false"/>
                <w:color w:val="334155"/>
                <w:sz w:val="19"/>
                <w:szCs w:val="19"/>
              </w:rPr>
              <w:t xml:space="preserve">A. Filaire ou sans fil, sur cinq technologies. Correction immédiate.</w:t>
            </w:r>
          </w:p>
          <w:p>
            <w:pPr>
              <w:spacing w:after="40" w:before="0"/>
              <w:jc w:val="left"/>
            </w:pPr>
            <w:r>
              <w:rPr>
                <w:rFonts w:ascii="Arial" w:cs="Arial" w:eastAsia="Arial" w:hAnsi="Arial"/>
                <w:b w:val="false"/>
                <w:bCs w:val="false"/>
                <w:i w:val="false"/>
                <w:iCs w:val="false"/>
                <w:color w:val="334155"/>
                <w:sz w:val="19"/>
                <w:szCs w:val="19"/>
              </w:rPr>
              <w:t xml:space="preserve">B. Arrêté, en extinction ou en service, sur trois technologies. Correction immédiate.</w:t>
            </w:r>
          </w:p>
          <w:p>
            <w:pPr>
              <w:spacing w:after="40" w:before="0"/>
              <w:jc w:val="left"/>
            </w:pPr>
            <w:r>
              <w:rPr>
                <w:rFonts w:ascii="Arial" w:cs="Arial" w:eastAsia="Arial" w:hAnsi="Arial"/>
                <w:b w:val="false"/>
                <w:bCs w:val="false"/>
                <w:i w:val="false"/>
                <w:iCs w:val="false"/>
                <w:color w:val="334155"/>
                <w:sz w:val="19"/>
                <w:szCs w:val="19"/>
              </w:rPr>
              <w:t xml:space="preserve">C. La frise des débits s’affiche, puis trois questions de réflexion.</w:t>
            </w:r>
          </w:p>
        </w:tc>
        <w:tc>
          <w:tcPr>
            <w:tcW w:type="dxa" w:w="25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30" w:before="0"/>
              <w:jc w:val="left"/>
            </w:pPr>
            <w:r>
              <w:rPr>
                <w:rFonts w:ascii="Arial" w:cs="Arial" w:eastAsia="Arial" w:hAnsi="Arial"/>
                <w:b w:val="false"/>
                <w:bCs w:val="false"/>
                <w:i/>
                <w:iCs/>
                <w:color w:val="64748b"/>
                <w:sz w:val="18"/>
                <w:szCs w:val="18"/>
              </w:rPr>
              <w:t xml:space="preserve">•  Deux surprises volontaires : le câble sous-marin est filaire, et la 5G n’est sans fil que sur le dernier kilomètre.</w:t>
            </w:r>
          </w:p>
          <w:p>
            <w:pPr>
              <w:spacing w:after="30" w:before="0"/>
              <w:jc w:val="left"/>
            </w:pPr>
            <w:r>
              <w:rPr>
                <w:rFonts w:ascii="Arial" w:cs="Arial" w:eastAsia="Arial" w:hAnsi="Arial"/>
                <w:b w:val="false"/>
                <w:bCs w:val="false"/>
                <w:i/>
                <w:iCs/>
                <w:color w:val="64748b"/>
                <w:sz w:val="18"/>
                <w:szCs w:val="18"/>
              </w:rPr>
              <w:t xml:space="preserve">•  Partie B : l’Ethernet date de 1983 et reste très utilisé. Faire dire qu’ancienneté et obsolescence sont deux choses différentes.</w:t>
            </w:r>
          </w:p>
          <w:p>
            <w:pPr>
              <w:spacing w:after="30" w:before="0"/>
              <w:jc w:val="left"/>
            </w:pPr>
            <w:r>
              <w:rPr>
                <w:rFonts w:ascii="Arial" w:cs="Arial" w:eastAsia="Arial" w:hAnsi="Arial"/>
                <w:b w:val="false"/>
                <w:bCs w:val="false"/>
                <w:i/>
                <w:iCs/>
                <w:color w:val="64748b"/>
                <w:sz w:val="18"/>
                <w:szCs w:val="18"/>
              </w:rPr>
              <w:t xml:space="preserve">•  Question 3 : c’est la capacité du programme. Attendre une réponse qui mentionne les protocoles logiciels, écrits dans les machines et non dans les câbles.</w:t>
            </w:r>
          </w:p>
        </w:tc>
      </w:tr>
      <w:tr>
        <w:tc>
          <w:tcPr>
            <w:tcW w:type="dxa" w:w="1700"/>
            <w:tcBorders>
              <w:top w:val="single" w:color="cbd5e1" w:sz="4"/>
              <w:left w:val="single" w:color="cbd5e1" w:sz="4"/>
              <w:bottom w:val="single" w:color="cbd5e1" w:sz="4"/>
              <w:right w:val="single" w:color="cbd5e1" w:sz="4"/>
            </w:tcBorders>
            <w:shd w:fill="8b5cf6" w:color="auto" w:val="clear"/>
            <w:tcMar>
              <w:top w:type="dxa" w:w="80"/>
              <w:left w:type="dxa" w:w="100"/>
              <w:bottom w:type="dxa" w:w="80"/>
              <w:right w:type="dxa" w:w="100"/>
            </w:tcMar>
            <w:vAlign w:val="center"/>
          </w:tcPr>
          <w:p>
            <w:pPr>
              <w:spacing w:after="30" w:before="0"/>
              <w:jc w:val="left"/>
            </w:pPr>
            <w:r>
              <w:rPr>
                <w:rFonts w:ascii="Arial" w:cs="Arial" w:eastAsia="Arial" w:hAnsi="Arial"/>
                <w:b/>
                <w:bCs/>
                <w:i w:val="false"/>
                <w:iCs w:val="false"/>
                <w:color w:val="FFFFFF"/>
                <w:sz w:val="19"/>
                <w:szCs w:val="19"/>
              </w:rPr>
              <w:t xml:space="preserve">ACTIVITÉ 2</w:t>
            </w:r>
          </w:p>
          <w:p>
            <w:pPr>
              <w:spacing w:after="0" w:before="0"/>
              <w:jc w:val="left"/>
            </w:pPr>
            <w:r>
              <w:rPr>
                <w:rFonts w:ascii="Arial" w:cs="Arial" w:eastAsia="Arial" w:hAnsi="Arial"/>
                <w:b w:val="false"/>
                <w:bCs w:val="false"/>
                <w:i w:val="false"/>
                <w:iCs w:val="false"/>
                <w:color w:val="e9d5ff"/>
                <w:sz w:val="18"/>
                <w:szCs w:val="18"/>
              </w:rPr>
              <w:t xml:space="preserve">Calculs — 20 min</w:t>
            </w:r>
          </w:p>
        </w:tc>
        <w:tc>
          <w:tcPr>
            <w:tcW w:type="dxa" w:w="6266"/>
            <w:tcBorders>
              <w:top w:val="single" w:color="cbd5e1" w:sz="4"/>
              <w:left w:val="single" w:color="cbd5e1" w:sz="4"/>
              <w:bottom w:val="single" w:color="cbd5e1" w:sz="4"/>
              <w:right w:val="single" w:color="cbd5e1" w:sz="4"/>
            </w:tcBorders>
            <w:shd w:fill="f8fafc" w:color="auto" w:val="clear"/>
            <w:tcMar>
              <w:top w:type="dxa" w:w="80"/>
              <w:left w:type="dxa" w:w="100"/>
              <w:bottom w:type="dxa" w:w="80"/>
              <w:right w:type="dxa" w:w="100"/>
            </w:tcMar>
            <w:vAlign w:val="center"/>
          </w:tcPr>
          <w:p>
            <w:pPr>
              <w:spacing w:after="40" w:before="0"/>
              <w:jc w:val="left"/>
            </w:pPr>
            <w:r>
              <w:rPr>
                <w:rFonts w:ascii="Arial" w:cs="Arial" w:eastAsia="Arial" w:hAnsi="Arial"/>
                <w:b/>
                <w:bCs/>
                <w:i w:val="false"/>
                <w:iCs w:val="false"/>
                <w:color w:val="334155"/>
                <w:sz w:val="19"/>
                <w:szCs w:val="19"/>
              </w:rPr>
              <w:t xml:space="preserve">L’ordre de grandeur du trafic</w:t>
            </w:r>
          </w:p>
          <w:p>
            <w:pPr>
              <w:spacing w:after="40" w:before="0"/>
              <w:jc w:val="left"/>
            </w:pPr>
            <w:r>
              <w:rPr>
                <w:rFonts w:ascii="Arial" w:cs="Arial" w:eastAsia="Arial" w:hAnsi="Arial"/>
                <w:b w:val="false"/>
                <w:bCs w:val="false"/>
                <w:i w:val="false"/>
                <w:iCs w:val="false"/>
                <w:color w:val="334155"/>
                <w:sz w:val="19"/>
                <w:szCs w:val="19"/>
              </w:rPr>
              <w:t xml:space="preserve">Le schéma des unités, du kilo-octet au zetta-octet, reste affiché. Un encadré rassemble toutes les données : trafic 2021, population mondiale, poids d’un film, série 2010-2015-2021, débits du RTC et de la fibre.</w:t>
            </w:r>
          </w:p>
          <w:p>
            <w:pPr>
              <w:spacing w:after="40" w:before="0"/>
              <w:jc w:val="left"/>
            </w:pPr>
            <w:r>
              <w:rPr>
                <w:rFonts w:ascii="Arial" w:cs="Arial" w:eastAsia="Arial" w:hAnsi="Arial"/>
                <w:b w:val="false"/>
                <w:bCs w:val="false"/>
                <w:i w:val="false"/>
                <w:iCs w:val="false"/>
                <w:color w:val="334155"/>
                <w:sz w:val="19"/>
                <w:szCs w:val="19"/>
              </w:rPr>
              <w:t xml:space="preserve">Cinq questions, dont quatre calculs. La dernière fait le lien : pourquoi personne ne regardait de vidéo en 1996.</w:t>
            </w:r>
          </w:p>
        </w:tc>
        <w:tc>
          <w:tcPr>
            <w:tcW w:type="dxa" w:w="25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30" w:before="0"/>
              <w:jc w:val="left"/>
            </w:pPr>
            <w:r>
              <w:rPr>
                <w:rFonts w:ascii="Arial" w:cs="Arial" w:eastAsia="Arial" w:hAnsi="Arial"/>
                <w:b w:val="false"/>
                <w:bCs w:val="false"/>
                <w:i/>
                <w:iCs/>
                <w:color w:val="64748b"/>
                <w:sz w:val="18"/>
                <w:szCs w:val="18"/>
              </w:rPr>
              <w:t xml:space="preserve">•  Calculatrice indispensable. Les nombres sont grands et les erreurs de conversion fréquentes.</w:t>
            </w:r>
          </w:p>
          <w:p>
            <w:pPr>
              <w:spacing w:after="30" w:before="0"/>
              <w:jc w:val="left"/>
            </w:pPr>
            <w:r>
              <w:rPr>
                <w:rFonts w:ascii="Arial" w:cs="Arial" w:eastAsia="Arial" w:hAnsi="Arial"/>
                <w:b w:val="false"/>
                <w:bCs w:val="false"/>
                <w:i/>
                <w:iCs/>
                <w:color w:val="64748b"/>
                <w:sz w:val="18"/>
                <w:szCs w:val="18"/>
              </w:rPr>
              <w:t xml:space="preserve">•  Question 4 : l’aide donne la conversion en mégabits. Sans elle, les élèves confondent octets et bits.</w:t>
            </w:r>
          </w:p>
          <w:p>
            <w:pPr>
              <w:spacing w:after="30" w:before="0"/>
              <w:jc w:val="left"/>
            </w:pPr>
            <w:r>
              <w:rPr>
                <w:rFonts w:ascii="Arial" w:cs="Arial" w:eastAsia="Arial" w:hAnsi="Arial"/>
                <w:b w:val="false"/>
                <w:bCs w:val="false"/>
                <w:i/>
                <w:iCs/>
                <w:color w:val="64748b"/>
                <w:sz w:val="18"/>
                <w:szCs w:val="18"/>
              </w:rPr>
              <w:t xml:space="preserve">•  Le résultat attendu — sept jours contre trente-deux secondes — mérite d’être écrit au tableau.</w:t>
            </w:r>
          </w:p>
        </w:tc>
      </w:tr>
      <w:tr>
        <w:tc>
          <w:tcPr>
            <w:tcW w:type="dxa" w:w="1700"/>
            <w:tcBorders>
              <w:top w:val="single" w:color="cbd5e1" w:sz="4"/>
              <w:left w:val="single" w:color="cbd5e1" w:sz="4"/>
              <w:bottom w:val="single" w:color="cbd5e1" w:sz="4"/>
              <w:right w:val="single" w:color="cbd5e1" w:sz="4"/>
            </w:tcBorders>
            <w:shd w:fill="8b5cf6" w:color="auto" w:val="clear"/>
            <w:tcMar>
              <w:top w:type="dxa" w:w="80"/>
              <w:left w:type="dxa" w:w="100"/>
              <w:bottom w:type="dxa" w:w="80"/>
              <w:right w:type="dxa" w:w="100"/>
            </w:tcMar>
            <w:vAlign w:val="center"/>
          </w:tcPr>
          <w:p>
            <w:pPr>
              <w:spacing w:after="30" w:before="0"/>
              <w:jc w:val="left"/>
            </w:pPr>
            <w:r>
              <w:rPr>
                <w:rFonts w:ascii="Arial" w:cs="Arial" w:eastAsia="Arial" w:hAnsi="Arial"/>
                <w:b/>
                <w:bCs/>
                <w:i w:val="false"/>
                <w:iCs w:val="false"/>
                <w:color w:val="FFFFFF"/>
                <w:sz w:val="19"/>
                <w:szCs w:val="19"/>
              </w:rPr>
              <w:t xml:space="preserve">ACTIVITÉ 3</w:t>
            </w:r>
          </w:p>
          <w:p>
            <w:pPr>
              <w:spacing w:after="0" w:before="0"/>
              <w:jc w:val="left"/>
            </w:pPr>
            <w:r>
              <w:rPr>
                <w:rFonts w:ascii="Arial" w:cs="Arial" w:eastAsia="Arial" w:hAnsi="Arial"/>
                <w:b w:val="false"/>
                <w:bCs w:val="false"/>
                <w:i w:val="false"/>
                <w:iCs w:val="false"/>
                <w:color w:val="e9d5ff"/>
                <w:sz w:val="18"/>
                <w:szCs w:val="18"/>
              </w:rPr>
              <w:t xml:space="preserve">Neutralité — 20 min</w:t>
            </w:r>
          </w:p>
        </w:tc>
        <w:tc>
          <w:tcPr>
            <w:tcW w:type="dxa" w:w="6266"/>
            <w:tcBorders>
              <w:top w:val="single" w:color="cbd5e1" w:sz="4"/>
              <w:left w:val="single" w:color="cbd5e1" w:sz="4"/>
              <w:bottom w:val="single" w:color="cbd5e1" w:sz="4"/>
              <w:right w:val="single" w:color="cbd5e1" w:sz="4"/>
            </w:tcBorders>
            <w:shd w:fill="f8fafc" w:color="auto" w:val="clear"/>
            <w:tcMar>
              <w:top w:type="dxa" w:w="80"/>
              <w:left w:type="dxa" w:w="100"/>
              <w:bottom w:type="dxa" w:w="80"/>
              <w:right w:type="dxa" w:w="100"/>
            </w:tcMar>
            <w:vAlign w:val="center"/>
          </w:tcPr>
          <w:p>
            <w:pPr>
              <w:spacing w:after="40" w:before="0"/>
              <w:jc w:val="left"/>
            </w:pPr>
            <w:r>
              <w:rPr>
                <w:rFonts w:ascii="Arial" w:cs="Arial" w:eastAsia="Arial" w:hAnsi="Arial"/>
                <w:b/>
                <w:bCs/>
                <w:i w:val="false"/>
                <w:iCs w:val="false"/>
                <w:color w:val="334155"/>
                <w:sz w:val="19"/>
                <w:szCs w:val="19"/>
              </w:rPr>
              <w:t xml:space="preserve">Le principe, puis les cas</w:t>
            </w:r>
          </w:p>
          <w:p>
            <w:pPr>
              <w:spacing w:after="40" w:before="0"/>
              <w:jc w:val="left"/>
            </w:pPr>
            <w:r>
              <w:rPr>
                <w:rFonts w:ascii="Arial" w:cs="Arial" w:eastAsia="Arial" w:hAnsi="Arial"/>
                <w:b w:val="false"/>
                <w:bCs w:val="false"/>
                <w:i w:val="false"/>
                <w:iCs w:val="false"/>
                <w:color w:val="334155"/>
                <w:sz w:val="19"/>
                <w:szCs w:val="19"/>
              </w:rPr>
              <w:t xml:space="preserve">L’encadré donne la définition du programme et l’image du péage qui compte les essieux, pas la marchandise. Le schéma montre un routeur neutre et un routeur qui trie. L’encadré juridique présente l’Arcep.</w:t>
            </w:r>
          </w:p>
          <w:p>
            <w:pPr>
              <w:spacing w:after="40" w:before="0"/>
              <w:jc w:val="left"/>
            </w:pPr>
            <w:r>
              <w:rPr>
                <w:rFonts w:ascii="Arial" w:cs="Arial" w:eastAsia="Arial" w:hAnsi="Arial"/>
                <w:b w:val="false"/>
                <w:bCs w:val="false"/>
                <w:i w:val="false"/>
                <w:iCs w:val="false"/>
                <w:color w:val="334155"/>
                <w:sz w:val="19"/>
                <w:szCs w:val="19"/>
              </w:rPr>
              <w:t xml:space="preserve">Cinq décisions d’opérateur à trancher, correction immédiate avec explication.</w:t>
            </w:r>
          </w:p>
          <w:p>
            <w:pPr>
              <w:spacing w:after="40" w:before="0"/>
              <w:jc w:val="left"/>
            </w:pPr>
            <w:r>
              <w:rPr>
                <w:rFonts w:ascii="Arial" w:cs="Arial" w:eastAsia="Arial" w:hAnsi="Arial"/>
                <w:b w:val="false"/>
                <w:bCs w:val="false"/>
                <w:i w:val="false"/>
                <w:iCs w:val="false"/>
                <w:color w:val="334155"/>
                <w:sz w:val="19"/>
                <w:szCs w:val="19"/>
              </w:rPr>
              <w:t xml:space="preserve">Puis, après correction seulement : formuler le critère unique. Enfin, le tableau des deux camps et une question d’opinion argumentée.</w:t>
            </w:r>
          </w:p>
        </w:tc>
        <w:tc>
          <w:tcPr>
            <w:tcW w:type="dxa" w:w="25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30" w:before="0"/>
              <w:jc w:val="left"/>
            </w:pPr>
            <w:r>
              <w:rPr>
                <w:rFonts w:ascii="Arial" w:cs="Arial" w:eastAsia="Arial" w:hAnsi="Arial"/>
                <w:b w:val="false"/>
                <w:bCs w:val="false"/>
                <w:i/>
                <w:iCs/>
                <w:color w:val="64748b"/>
                <w:sz w:val="18"/>
                <w:szCs w:val="18"/>
              </w:rPr>
              <w:t xml:space="preserve">•  Les cas 1 et 4 ressemblent à des atteintes sans en être : un ralentissement général n’est pas un tri, et appliquer une décision de justice n’est pas un choix de l’opérateur.</w:t>
            </w:r>
          </w:p>
          <w:p>
            <w:pPr>
              <w:spacing w:after="30" w:before="0"/>
              <w:jc w:val="left"/>
            </w:pPr>
            <w:r>
              <w:rPr>
                <w:rFonts w:ascii="Arial" w:cs="Arial" w:eastAsia="Arial" w:hAnsi="Arial"/>
                <w:b w:val="false"/>
                <w:bCs w:val="false"/>
                <w:i/>
                <w:iCs/>
                <w:color w:val="64748b"/>
                <w:sz w:val="18"/>
                <w:szCs w:val="18"/>
              </w:rPr>
              <w:t xml:space="preserve">•  Arcep et non Arcom. L’Arcep veille sur les réseaux, l’Arcom sur les contenus et le droit d’auteur, vue en séance 4.</w:t>
            </w:r>
          </w:p>
          <w:p>
            <w:pPr>
              <w:spacing w:after="30" w:before="0"/>
              <w:jc w:val="left"/>
            </w:pPr>
            <w:r>
              <w:rPr>
                <w:rFonts w:ascii="Arial" w:cs="Arial" w:eastAsia="Arial" w:hAnsi="Arial"/>
                <w:b w:val="false"/>
                <w:bCs w:val="false"/>
                <w:i/>
                <w:iCs/>
                <w:color w:val="64748b"/>
                <w:sz w:val="18"/>
                <w:szCs w:val="18"/>
              </w:rPr>
              <w:t xml:space="preserve">•  Question 2 : c’est un avis. Évaluer la justification, pas la position choisie.</w:t>
            </w:r>
          </w:p>
        </w:tc>
      </w:tr>
      <w:tr>
        <w:tc>
          <w:tcPr>
            <w:tcW w:type="dxa" w:w="1700"/>
            <w:tcBorders>
              <w:top w:val="single" w:color="cbd5e1" w:sz="4"/>
              <w:left w:val="single" w:color="cbd5e1" w:sz="4"/>
              <w:bottom w:val="single" w:color="cbd5e1" w:sz="4"/>
              <w:right w:val="single" w:color="cbd5e1" w:sz="4"/>
            </w:tcBorders>
            <w:shd w:fill="8b5cf6" w:color="auto" w:val="clear"/>
            <w:tcMar>
              <w:top w:type="dxa" w:w="80"/>
              <w:left w:type="dxa" w:w="100"/>
              <w:bottom w:type="dxa" w:w="80"/>
              <w:right w:type="dxa" w:w="100"/>
            </w:tcMar>
            <w:vAlign w:val="center"/>
          </w:tcPr>
          <w:p>
            <w:pPr>
              <w:spacing w:after="30" w:before="0"/>
              <w:jc w:val="left"/>
            </w:pPr>
            <w:r>
              <w:rPr>
                <w:rFonts w:ascii="Arial" w:cs="Arial" w:eastAsia="Arial" w:hAnsi="Arial"/>
                <w:b/>
                <w:bCs/>
                <w:i w:val="false"/>
                <w:iCs w:val="false"/>
                <w:color w:val="FFFFFF"/>
                <w:sz w:val="19"/>
                <w:szCs w:val="19"/>
              </w:rPr>
              <w:t xml:space="preserve">SYNTHÈSE</w:t>
            </w:r>
          </w:p>
          <w:p>
            <w:pPr>
              <w:spacing w:after="0" w:before="0"/>
              <w:jc w:val="left"/>
            </w:pPr>
            <w:r>
              <w:rPr>
                <w:rFonts w:ascii="Arial" w:cs="Arial" w:eastAsia="Arial" w:hAnsi="Arial"/>
                <w:b w:val="false"/>
                <w:bCs w:val="false"/>
                <w:i w:val="false"/>
                <w:iCs w:val="false"/>
                <w:color w:val="e9d5ff"/>
                <w:sz w:val="18"/>
                <w:szCs w:val="18"/>
              </w:rPr>
              <w:t xml:space="preserve">Trace écrite — 10 min</w:t>
            </w:r>
          </w:p>
        </w:tc>
        <w:tc>
          <w:tcPr>
            <w:tcW w:type="dxa" w:w="6266"/>
            <w:tcBorders>
              <w:top w:val="single" w:color="cbd5e1" w:sz="4"/>
              <w:left w:val="single" w:color="cbd5e1" w:sz="4"/>
              <w:bottom w:val="single" w:color="cbd5e1" w:sz="4"/>
              <w:right w:val="single" w:color="cbd5e1" w:sz="4"/>
            </w:tcBorders>
            <w:shd w:fill="f8fafc" w:color="auto" w:val="clear"/>
            <w:tcMar>
              <w:top w:type="dxa" w:w="80"/>
              <w:left w:type="dxa" w:w="100"/>
              <w:bottom w:type="dxa" w:w="80"/>
              <w:right w:type="dxa" w:w="100"/>
            </w:tcMar>
            <w:vAlign w:val="center"/>
          </w:tcPr>
          <w:p>
            <w:pPr>
              <w:spacing w:after="40" w:before="0"/>
              <w:jc w:val="left"/>
            </w:pPr>
            <w:r>
              <w:rPr>
                <w:rFonts w:ascii="Arial" w:cs="Arial" w:eastAsia="Arial" w:hAnsi="Arial"/>
                <w:b/>
                <w:bCs/>
                <w:i w:val="false"/>
                <w:iCs w:val="false"/>
                <w:color w:val="334155"/>
                <w:sz w:val="19"/>
                <w:szCs w:val="19"/>
              </w:rPr>
              <w:t xml:space="preserve">Cinq champs à compléter</w:t>
            </w:r>
          </w:p>
          <w:p>
            <w:pPr>
              <w:spacing w:after="40" w:before="0"/>
              <w:jc w:val="left"/>
            </w:pPr>
            <w:r>
              <w:rPr>
                <w:rFonts w:ascii="Arial" w:cs="Arial" w:eastAsia="Arial" w:hAnsi="Arial"/>
                <w:b w:val="false"/>
                <w:bCs w:val="false"/>
                <w:i w:val="false"/>
                <w:iCs w:val="false"/>
                <w:color w:val="334155"/>
                <w:sz w:val="19"/>
                <w:szCs w:val="19"/>
              </w:rPr>
              <w:t xml:space="preserve">Les réseaux physiques ; l’indépendance d’internet vis-à-vis du support ; l’ordre de grandeur du trafic ; la neutralité du Net ; ses remises en cause.</w:t>
            </w:r>
          </w:p>
          <w:p>
            <w:pPr>
              <w:spacing w:after="40" w:before="0"/>
              <w:jc w:val="left"/>
            </w:pPr>
            <w:r>
              <w:rPr>
                <w:rFonts w:ascii="Arial" w:cs="Arial" w:eastAsia="Arial" w:hAnsi="Arial"/>
                <w:b w:val="false"/>
                <w:bCs w:val="false"/>
                <w:i w:val="false"/>
                <w:iCs w:val="false"/>
                <w:color w:val="334155"/>
                <w:sz w:val="19"/>
                <w:szCs w:val="19"/>
              </w:rPr>
              <w:t xml:space="preserve">Exiger une reformulation personnelle. Le bouton Sauvegarder est plus bas, après le quiz.</w:t>
            </w:r>
          </w:p>
        </w:tc>
        <w:tc>
          <w:tcPr>
            <w:tcW w:type="dxa" w:w="25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30" w:before="0"/>
              <w:jc w:val="left"/>
            </w:pPr>
            <w:r>
              <w:rPr>
                <w:rFonts w:ascii="Arial" w:cs="Arial" w:eastAsia="Arial" w:hAnsi="Arial"/>
                <w:b w:val="false"/>
                <w:bCs w:val="false"/>
                <w:i/>
                <w:iCs/>
                <w:color w:val="64748b"/>
                <w:sz w:val="18"/>
                <w:szCs w:val="18"/>
              </w:rPr>
              <w:t xml:space="preserve">•  Le champ 2 est le plus important : c’est la capacité du programme. Ne pas le laisser bâclé.</w:t>
            </w:r>
          </w:p>
        </w:tc>
      </w:tr>
      <w:tr>
        <w:tc>
          <w:tcPr>
            <w:tcW w:type="dxa" w:w="1700"/>
            <w:tcBorders>
              <w:top w:val="single" w:color="cbd5e1" w:sz="4"/>
              <w:left w:val="single" w:color="cbd5e1" w:sz="4"/>
              <w:bottom w:val="single" w:color="cbd5e1" w:sz="4"/>
              <w:right w:val="single" w:color="cbd5e1" w:sz="4"/>
            </w:tcBorders>
            <w:shd w:fill="8b5cf6" w:color="auto" w:val="clear"/>
            <w:tcMar>
              <w:top w:type="dxa" w:w="80"/>
              <w:left w:type="dxa" w:w="100"/>
              <w:bottom w:type="dxa" w:w="80"/>
              <w:right w:type="dxa" w:w="100"/>
            </w:tcMar>
            <w:vAlign w:val="center"/>
          </w:tcPr>
          <w:p>
            <w:pPr>
              <w:spacing w:after="30" w:before="0"/>
              <w:jc w:val="left"/>
            </w:pPr>
            <w:r>
              <w:rPr>
                <w:rFonts w:ascii="Arial" w:cs="Arial" w:eastAsia="Arial" w:hAnsi="Arial"/>
                <w:b/>
                <w:bCs/>
                <w:i w:val="false"/>
                <w:iCs w:val="false"/>
                <w:color w:val="FFFFFF"/>
                <w:sz w:val="19"/>
                <w:szCs w:val="19"/>
              </w:rPr>
              <w:t xml:space="preserve">QUIZ</w:t>
            </w:r>
          </w:p>
          <w:p>
            <w:pPr>
              <w:spacing w:after="0" w:before="0"/>
              <w:jc w:val="left"/>
            </w:pPr>
            <w:r>
              <w:rPr>
                <w:rFonts w:ascii="Arial" w:cs="Arial" w:eastAsia="Arial" w:hAnsi="Arial"/>
                <w:b w:val="false"/>
                <w:bCs w:val="false"/>
                <w:i w:val="false"/>
                <w:iCs w:val="false"/>
                <w:color w:val="e9d5ff"/>
                <w:sz w:val="18"/>
                <w:szCs w:val="18"/>
              </w:rPr>
              <w:t xml:space="preserve">8 min</w:t>
            </w:r>
          </w:p>
        </w:tc>
        <w:tc>
          <w:tcPr>
            <w:tcW w:type="dxa" w:w="6266"/>
            <w:tcBorders>
              <w:top w:val="single" w:color="cbd5e1" w:sz="4"/>
              <w:left w:val="single" w:color="cbd5e1" w:sz="4"/>
              <w:bottom w:val="single" w:color="cbd5e1" w:sz="4"/>
              <w:right w:val="single" w:color="cbd5e1" w:sz="4"/>
            </w:tcBorders>
            <w:shd w:fill="f8fafc" w:color="auto" w:val="clear"/>
            <w:tcMar>
              <w:top w:type="dxa" w:w="80"/>
              <w:left w:type="dxa" w:w="100"/>
              <w:bottom w:type="dxa" w:w="80"/>
              <w:right w:type="dxa" w:w="100"/>
            </w:tcMar>
            <w:vAlign w:val="center"/>
          </w:tcPr>
          <w:p>
            <w:pPr>
              <w:spacing w:after="40" w:before="0"/>
              <w:jc w:val="left"/>
            </w:pPr>
            <w:r>
              <w:rPr>
                <w:rFonts w:ascii="Arial" w:cs="Arial" w:eastAsia="Arial" w:hAnsi="Arial"/>
                <w:b/>
                <w:bCs/>
                <w:i w:val="false"/>
                <w:iCs w:val="false"/>
                <w:color w:val="334155"/>
                <w:sz w:val="19"/>
                <w:szCs w:val="19"/>
              </w:rPr>
              <w:t xml:space="preserve">Six questions à choix multiple, auto-corrigées</w:t>
            </w:r>
          </w:p>
          <w:p>
            <w:pPr>
              <w:spacing w:after="40" w:before="0"/>
              <w:jc w:val="left"/>
            </w:pPr>
            <w:r>
              <w:rPr>
                <w:rFonts w:ascii="Arial" w:cs="Arial" w:eastAsia="Arial" w:hAnsi="Arial"/>
                <w:b w:val="false"/>
                <w:bCs w:val="false"/>
                <w:i w:val="false"/>
                <w:iCs w:val="false"/>
                <w:color w:val="334155"/>
                <w:sz w:val="19"/>
                <w:szCs w:val="19"/>
              </w:rPr>
              <w:t xml:space="preserve">Correction immédiate, une seule validation possible.</w:t>
            </w:r>
          </w:p>
          <w:p>
            <w:pPr>
              <w:spacing w:after="40" w:before="0"/>
              <w:jc w:val="left"/>
            </w:pPr>
            <w:r>
              <w:rPr>
                <w:rFonts w:ascii="Arial" w:cs="Arial" w:eastAsia="Arial" w:hAnsi="Arial"/>
                <w:b/>
                <w:bCs/>
                <w:i w:val="false"/>
                <w:iCs w:val="false"/>
                <w:color w:val="334155"/>
                <w:sz w:val="19"/>
                <w:szCs w:val="19"/>
              </w:rPr>
              <w:t xml:space="preserve">Puis Sauvegarder, puis Télécharger le PDF</w:t>
            </w:r>
          </w:p>
          <w:p>
            <w:pPr>
              <w:spacing w:after="40" w:before="0"/>
              <w:jc w:val="left"/>
            </w:pPr>
            <w:r>
              <w:rPr>
                <w:rFonts w:ascii="Arial" w:cs="Arial" w:eastAsia="Arial" w:hAnsi="Arial"/>
                <w:b w:val="false"/>
                <w:bCs w:val="false"/>
                <w:i w:val="false"/>
                <w:iCs w:val="false"/>
                <w:color w:val="334155"/>
                <w:sz w:val="19"/>
                <w:szCs w:val="19"/>
              </w:rPr>
              <w:t xml:space="preserve">Le PDF reprend tout : hypothèse, les trois activités avec leurs corrections, trace écrite et quiz corrigé.</w:t>
            </w:r>
          </w:p>
        </w:tc>
        <w:tc>
          <w:tcPr>
            <w:tcW w:type="dxa" w:w="25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30" w:before="0"/>
              <w:jc w:val="left"/>
            </w:pPr>
            <w:r>
              <w:rPr>
                <w:rFonts w:ascii="Arial" w:cs="Arial" w:eastAsia="Arial" w:hAnsi="Arial"/>
                <w:b w:val="false"/>
                <w:bCs w:val="false"/>
                <w:i/>
                <w:iCs/>
                <w:color w:val="64748b"/>
                <w:sz w:val="18"/>
                <w:szCs w:val="18"/>
              </w:rPr>
              <w:t xml:space="preserve">•  La correction du quiz n’apparaît dans le PDF qu’une fois le quiz validé.</w:t>
            </w:r>
          </w:p>
          <w:p>
            <w:pPr>
              <w:spacing w:after="30" w:before="0"/>
              <w:jc w:val="left"/>
            </w:pPr>
            <w:r>
              <w:rPr>
                <w:rFonts w:ascii="Arial" w:cs="Arial" w:eastAsia="Arial" w:hAnsi="Arial"/>
                <w:b w:val="false"/>
                <w:bCs w:val="false"/>
                <w:i/>
                <w:iCs/>
                <w:color w:val="64748b"/>
                <w:sz w:val="18"/>
                <w:szCs w:val="18"/>
              </w:rPr>
              <w:t xml:space="preserve">•  Question 4, sur le zetta-octet : reprendre le schéma des unités si elle est ratée.</w:t>
            </w:r>
          </w:p>
        </w:tc>
      </w:tr>
      <w:tr>
        <w:tc>
          <w:tcPr>
            <w:tcW w:type="dxa" w:w="1700"/>
            <w:tcBorders>
              <w:top w:val="single" w:color="cbd5e1" w:sz="4"/>
              <w:left w:val="single" w:color="cbd5e1" w:sz="4"/>
              <w:bottom w:val="single" w:color="cbd5e1" w:sz="4"/>
              <w:right w:val="single" w:color="cbd5e1" w:sz="4"/>
            </w:tcBorders>
            <w:shd w:fill="8b5cf6" w:color="auto" w:val="clear"/>
            <w:tcMar>
              <w:top w:type="dxa" w:w="80"/>
              <w:left w:type="dxa" w:w="100"/>
              <w:bottom w:type="dxa" w:w="80"/>
              <w:right w:type="dxa" w:w="100"/>
            </w:tcMar>
            <w:vAlign w:val="center"/>
          </w:tcPr>
          <w:p>
            <w:pPr>
              <w:spacing w:after="30" w:before="0"/>
              <w:jc w:val="left"/>
            </w:pPr>
            <w:r>
              <w:rPr>
                <w:rFonts w:ascii="Arial" w:cs="Arial" w:eastAsia="Arial" w:hAnsi="Arial"/>
                <w:b/>
                <w:bCs/>
                <w:i w:val="false"/>
                <w:iCs w:val="false"/>
                <w:color w:val="FFFFFF"/>
                <w:sz w:val="19"/>
                <w:szCs w:val="19"/>
              </w:rPr>
              <w:t xml:space="preserve">BILAN</w:t>
            </w:r>
          </w:p>
          <w:p>
            <w:pPr>
              <w:spacing w:after="0" w:before="0"/>
              <w:jc w:val="left"/>
            </w:pPr>
            <w:r>
              <w:rPr>
                <w:rFonts w:ascii="Arial" w:cs="Arial" w:eastAsia="Arial" w:hAnsi="Arial"/>
                <w:b w:val="false"/>
                <w:bCs w:val="false"/>
                <w:i w:val="false"/>
                <w:iCs w:val="false"/>
                <w:color w:val="e9d5ff"/>
                <w:sz w:val="18"/>
                <w:szCs w:val="18"/>
              </w:rPr>
              <w:t xml:space="preserve">5 min</w:t>
            </w:r>
          </w:p>
        </w:tc>
        <w:tc>
          <w:tcPr>
            <w:tcW w:type="dxa" w:w="6266"/>
            <w:tcBorders>
              <w:top w:val="single" w:color="cbd5e1" w:sz="4"/>
              <w:left w:val="single" w:color="cbd5e1" w:sz="4"/>
              <w:bottom w:val="single" w:color="cbd5e1" w:sz="4"/>
              <w:right w:val="single" w:color="cbd5e1" w:sz="4"/>
            </w:tcBorders>
            <w:shd w:fill="f8fafc" w:color="auto" w:val="clear"/>
            <w:tcMar>
              <w:top w:type="dxa" w:w="80"/>
              <w:left w:type="dxa" w:w="100"/>
              <w:bottom w:type="dxa" w:w="80"/>
              <w:right w:type="dxa" w:w="100"/>
            </w:tcMar>
            <w:vAlign w:val="center"/>
          </w:tcPr>
          <w:p>
            <w:pPr>
              <w:spacing w:after="40" w:before="0"/>
              <w:jc w:val="left"/>
            </w:pPr>
            <w:r>
              <w:rPr>
                <w:rFonts w:ascii="Arial" w:cs="Arial" w:eastAsia="Arial" w:hAnsi="Arial"/>
                <w:b/>
                <w:bCs/>
                <w:i w:val="false"/>
                <w:iCs w:val="false"/>
                <w:color w:val="334155"/>
                <w:sz w:val="19"/>
                <w:szCs w:val="19"/>
              </w:rPr>
              <w:t xml:space="preserve">Rubrique « J’ai réussi si… »</w:t>
            </w:r>
          </w:p>
          <w:p>
            <w:pPr>
              <w:spacing w:after="40" w:before="0"/>
              <w:jc w:val="left"/>
            </w:pPr>
            <w:r>
              <w:rPr>
                <w:rFonts w:ascii="Arial" w:cs="Arial" w:eastAsia="Arial" w:hAnsi="Arial"/>
                <w:b w:val="false"/>
                <w:bCs w:val="false"/>
                <w:i w:val="false"/>
                <w:iCs w:val="false"/>
                <w:color w:val="334155"/>
                <w:sz w:val="19"/>
                <w:szCs w:val="19"/>
              </w:rPr>
              <w:t xml:space="preserve">Lire les six critères avec la classe.</w:t>
            </w:r>
          </w:p>
          <w:p>
            <w:pPr>
              <w:spacing w:after="40" w:before="0"/>
              <w:jc w:val="left"/>
            </w:pPr>
            <w:r>
              <w:rPr>
                <w:rFonts w:ascii="Arial" w:cs="Arial" w:eastAsia="Arial" w:hAnsi="Arial"/>
                <w:b/>
                <w:bCs/>
                <w:i w:val="false"/>
                <w:iCs w:val="false"/>
                <w:color w:val="334155"/>
                <w:sz w:val="19"/>
                <w:szCs w:val="19"/>
              </w:rPr>
              <w:t xml:space="preserve">Clore le thème Internet</w:t>
            </w:r>
          </w:p>
          <w:p>
            <w:pPr>
              <w:spacing w:after="40" w:before="0"/>
              <w:jc w:val="left"/>
            </w:pPr>
            <w:r>
              <w:rPr>
                <w:rFonts w:ascii="Arial" w:cs="Arial" w:eastAsia="Arial" w:hAnsi="Arial"/>
                <w:b w:val="false"/>
                <w:bCs w:val="false"/>
                <w:i w:val="false"/>
                <w:iCs w:val="false"/>
                <w:color w:val="334155"/>
                <w:sz w:val="19"/>
                <w:szCs w:val="19"/>
              </w:rPr>
              <w:t xml:space="preserve">Reprendre le fil des cinq séances : d’où vient Internet, comment on y trouve une machine, comment les données y circulent, qui peut les fournir, et si toutes sont traitées également.</w:t>
            </w:r>
          </w:p>
        </w:tc>
        <w:tc>
          <w:tcPr>
            <w:tcW w:type="dxa" w:w="25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30" w:before="0"/>
              <w:jc w:val="left"/>
            </w:pPr>
            <w:r>
              <w:rPr>
                <w:rFonts w:ascii="Arial" w:cs="Arial" w:eastAsia="Arial" w:hAnsi="Arial"/>
                <w:b w:val="false"/>
                <w:bCs w:val="false"/>
                <w:i/>
                <w:iCs/>
                <w:color w:val="64748b"/>
                <w:sz w:val="18"/>
                <w:szCs w:val="18"/>
              </w:rPr>
              <w:t xml:space="preserve">•  C’est la dernière séance du thème : prévoir un temps de récapitulation, éventuellement une évaluation ultérieure.</w:t>
            </w:r>
          </w:p>
        </w:tc>
      </w:tr>
    </w:tbl>
    <w:p>
      <w:pPr>
        <w:spacing w:after="120" w:before="260"/>
      </w:pPr>
      <w:r>
        <w:rPr>
          <w:rFonts w:ascii="Arial" w:cs="Arial" w:eastAsia="Arial" w:hAnsi="Arial"/>
          <w:b/>
          <w:bCs/>
          <w:i w:val="false"/>
          <w:iCs w:val="false"/>
          <w:color w:val="8b5cf6"/>
          <w:sz w:val="22"/>
          <w:szCs w:val="22"/>
        </w:rPr>
        <w:t xml:space="preserve">BILAN POST-SÉANCE (à remplir après le cours)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3000"/>
        <w:gridCol w:w="7466"/>
      </w:tblGrid>
      <w:tr>
        <w:tc>
          <w:tcPr>
            <w:tcW w:type="dxa" w:w="30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Ajustements pour la prochaine fois</w:t>
            </w:r>
          </w:p>
        </w:tc>
        <w:tc>
          <w:tcPr>
            <w:tcW w:type="dxa" w:w="7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30" w:before="0"/>
              <w:jc w:val="left"/>
            </w:pPr>
            <w:r>
              <w:rPr>
                <w:rFonts w:ascii="Arial" w:cs="Arial" w:eastAsia="Arial" w:hAnsi="Arial"/>
                <w:b w:val="false"/>
                <w:bCs w:val="false"/>
                <w:i w:val="false"/>
                <w:iCs w:val="false"/>
                <w:color w:val="334155"/>
                <w:sz w:val="19"/>
                <w:szCs w:val="19"/>
              </w:rPr>
              <w:t xml:space="preserve"/>
            </w:r>
          </w:p>
          <w:p>
            <w:pPr>
              <w:spacing w:after="30" w:before="0"/>
              <w:jc w:val="left"/>
            </w:pPr>
            <w:r>
              <w:rPr>
                <w:rFonts w:ascii="Arial" w:cs="Arial" w:eastAsia="Arial" w:hAnsi="Arial"/>
                <w:b w:val="false"/>
                <w:bCs w:val="false"/>
                <w:i w:val="false"/>
                <w:iCs w:val="false"/>
                <w:color w:val="334155"/>
                <w:sz w:val="19"/>
                <w:szCs w:val="19"/>
              </w:rPr>
              <w:t xml:space="preserve"/>
            </w:r>
          </w:p>
          <w:p>
            <w:pPr>
              <w:spacing w:after="30" w:before="0"/>
              <w:jc w:val="left"/>
            </w:pPr>
            <w:r>
              <w:rPr>
                <w:rFonts w:ascii="Arial" w:cs="Arial" w:eastAsia="Arial" w:hAnsi="Arial"/>
                <w:b w:val="false"/>
                <w:bCs w:val="false"/>
                <w:i w:val="false"/>
                <w:iCs w:val="false"/>
                <w:color w:val="334155"/>
                <w:sz w:val="19"/>
                <w:szCs w:val="19"/>
              </w:rPr>
              <w:t xml:space="preserve"/>
            </w:r>
          </w:p>
        </w:tc>
      </w:tr>
      <w:tr>
        <w:tc>
          <w:tcPr>
            <w:tcW w:type="dxa" w:w="30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Observations élèves</w:t>
            </w:r>
          </w:p>
        </w:tc>
        <w:tc>
          <w:tcPr>
            <w:tcW w:type="dxa" w:w="7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30" w:before="0"/>
              <w:jc w:val="left"/>
            </w:pPr>
            <w:r>
              <w:rPr>
                <w:rFonts w:ascii="Arial" w:cs="Arial" w:eastAsia="Arial" w:hAnsi="Arial"/>
                <w:b w:val="false"/>
                <w:bCs w:val="false"/>
                <w:i w:val="false"/>
                <w:iCs w:val="false"/>
                <w:color w:val="334155"/>
                <w:sz w:val="19"/>
                <w:szCs w:val="19"/>
              </w:rPr>
              <w:t xml:space="preserve"/>
            </w:r>
          </w:p>
          <w:p>
            <w:pPr>
              <w:spacing w:after="30" w:before="0"/>
              <w:jc w:val="left"/>
            </w:pPr>
            <w:r>
              <w:rPr>
                <w:rFonts w:ascii="Arial" w:cs="Arial" w:eastAsia="Arial" w:hAnsi="Arial"/>
                <w:b w:val="false"/>
                <w:bCs w:val="false"/>
                <w:i w:val="false"/>
                <w:iCs w:val="false"/>
                <w:color w:val="334155"/>
                <w:sz w:val="19"/>
                <w:szCs w:val="19"/>
              </w:rPr>
              <w:t xml:space="preserve"/>
            </w:r>
          </w:p>
          <w:p>
            <w:pPr>
              <w:spacing w:after="30" w:before="0"/>
              <w:jc w:val="left"/>
            </w:pPr>
            <w:r>
              <w:rPr>
                <w:rFonts w:ascii="Arial" w:cs="Arial" w:eastAsia="Arial" w:hAnsi="Arial"/>
                <w:b w:val="false"/>
                <w:bCs w:val="false"/>
                <w:i w:val="false"/>
                <w:iCs w:val="false"/>
                <w:color w:val="334155"/>
                <w:sz w:val="19"/>
                <w:szCs w:val="19"/>
              </w:rPr>
              <w:t xml:space="preserve"/>
            </w:r>
          </w:p>
        </w:tc>
      </w:tr>
    </w:tbl>
    <w:sectPr>
      <w:footerReference w:type="default" r:id="rId7"/>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b w:val="false"/>
        <w:bCs w:val="false"/>
        <w:i w:val="false"/>
        <w:iCs w:val="false"/>
        <w:color w:val="94a3b8"/>
        <w:sz w:val="16"/>
        <w:szCs w:val="16"/>
      </w:rPr>
      <w:t xml:space="preserve">monprofdetechnologie.fr  --  Fiche de séance Technologie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2026-09-03T10:05:52.791Z</dcterms:created>
  <dcterms:modified xsi:type="dcterms:W3CDTF">2026-09-03T10:05:52.804Z</dcterms:modified>
</cp:coreProperties>
</file>

<file path=docProps/custom.xml><?xml version="1.0" encoding="utf-8"?>
<Properties xmlns="http://schemas.openxmlformats.org/officeDocument/2006/custom-properties" xmlns:vt="http://schemas.openxmlformats.org/officeDocument/2006/docPropsVTypes"/>
</file>