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40" w:before="8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ÉVALUATION — THÈME INTERNET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4b5fd"/>
                <w:sz w:val="19"/>
                <w:szCs w:val="19"/>
              </w:rPr>
              <w:t xml:space="preserve">SNT Seconde   |   Durée : 45 minutes   |   Noté sur 20</w:t>
            </w:r>
          </w:p>
        </w:tc>
      </w:tr>
    </w:tbl>
    <w:p>
      <w:pPr>
        <w:spacing w:after="10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2600"/>
        <w:gridCol w:w="2633"/>
      </w:tblGrid>
      <w:tr>
        <w:tc>
          <w:tcPr>
            <w:tcW w:type="dxa" w:w="52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NOM et prénom : </w:t>
            </w:r>
          </w:p>
        </w:tc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Classe : </w:t>
            </w:r>
          </w:p>
        </w:tc>
        <w:tc>
          <w:tcPr>
            <w:tcW w:type="dxa" w:w="26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19"/>
                <w:szCs w:val="19"/>
              </w:rPr>
              <w:t xml:space="preserve">Note :        / 20</w:t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c>
          <w:tcPr>
            <w:tcW w:type="dxa" w:w="900"/>
            <w:tcBorders>
              <w:top w:val="single" w:color="4f46e5" w:sz="4"/>
              <w:left w:val="single" w:color="4f46e5" w:sz="4"/>
              <w:bottom w:val="single" w:color="4f46e5" w:sz="4"/>
              <w:right w:val="single" w:color="4f46e5" w:sz="4"/>
            </w:tcBorders>
            <w:shd w:fill="4f46e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</w:rPr>
              <w:t xml:space="preserve">Les repères historiques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20"/>
                <w:szCs w:val="20"/>
              </w:rPr>
              <w:t xml:space="preserve">3 points</w:t>
            </w:r>
          </w:p>
        </w:tc>
      </w:tr>
    </w:tbl>
    <w:p>
      <w:pPr>
        <w:spacing w:after="60" w:before="60"/>
      </w:pPr>
      <w:r>
        <w:rPr>
          <w:rFonts w:ascii="Arial" w:cs="Arial" w:eastAsia="Arial" w:hAnsi="Arial"/>
          <w:i/>
          <w:iCs/>
          <w:color w:val="64748b"/>
          <w:sz w:val="19"/>
          <w:szCs w:val="19"/>
        </w:rPr>
        <w:t xml:space="preserve">Reliez chaque date à l’événement correspondant, en traçant un trait.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9066"/>
      </w:tblGrid>
      <w:tr>
        <w:tc>
          <w:tcPr>
            <w:tcW w:type="dxa" w:w="1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4f46e5"/>
                <w:sz w:val="19"/>
                <w:szCs w:val="19"/>
              </w:rPr>
              <w:t xml:space="preserve">1969</w:t>
            </w:r>
          </w:p>
        </w:tc>
        <w:tc>
          <w:tcPr>
            <w:tcW w:type="dxa" w:w="9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protocole TCP/IP est publié par Vint Cerf et Bob Kahn</w:t>
            </w:r>
          </w:p>
        </w:tc>
      </w:tr>
      <w:tr>
        <w:tc>
          <w:tcPr>
            <w:tcW w:type="dxa" w:w="1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4f46e5"/>
                <w:sz w:val="19"/>
                <w:szCs w:val="19"/>
              </w:rPr>
              <w:t xml:space="preserve">1971</w:t>
            </w:r>
          </w:p>
        </w:tc>
        <w:tc>
          <w:tcPr>
            <w:tcW w:type="dxa" w:w="9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Naissance d’Internet : tous les réseaux adoptent le même protocole</w:t>
            </w:r>
          </w:p>
        </w:tc>
      </w:tr>
      <w:tr>
        <w:tc>
          <w:tcPr>
            <w:tcW w:type="dxa" w:w="1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4f46e5"/>
                <w:sz w:val="19"/>
                <w:szCs w:val="19"/>
              </w:rPr>
              <w:t xml:space="preserve">1974</w:t>
            </w:r>
          </w:p>
        </w:tc>
        <w:tc>
          <w:tcPr>
            <w:tcW w:type="dxa" w:w="9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Les quatre premiers ordinateurs d’ARPANET sont reliés entre eux</w:t>
            </w:r>
          </w:p>
        </w:tc>
      </w:tr>
      <w:tr>
        <w:tc>
          <w:tcPr>
            <w:tcW w:type="dxa" w:w="1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4f46e5"/>
                <w:sz w:val="19"/>
                <w:szCs w:val="19"/>
              </w:rPr>
              <w:t xml:space="preserve">1983</w:t>
            </w:r>
          </w:p>
        </w:tc>
        <w:tc>
          <w:tcPr>
            <w:tcW w:type="dxa" w:w="9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projet français Cyclades expérimente la commutation de paquets</w:t>
            </w:r>
          </w:p>
        </w:tc>
      </w:tr>
    </w:tbl>
    <w:p>
      <w:pPr>
        <w:tabs>
          <w:tab w:val="right" w:pos="10466"/>
        </w:tabs>
        <w:spacing w:after="70" w:before="160"/>
      </w:pPr>
      <w:r>
        <w:rPr>
          <w:rFonts w:ascii="Arial" w:cs="Arial" w:eastAsia="Arial" w:hAnsi="Arial"/>
          <w:b/>
          <w:bCs/>
          <w:color w:val="4f46e5"/>
          <w:sz w:val="20"/>
          <w:szCs w:val="20"/>
        </w:rPr>
        <w:t xml:space="preserve">1.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Internet et le Web, est-ce la même chose ? Justifie en une phrase.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64748b"/>
          <w:sz w:val="18"/>
          <w:szCs w:val="18"/>
        </w:rPr>
        <w:t xml:space="preserve">1 pt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c>
          <w:tcPr>
            <w:tcW w:type="dxa" w:w="900"/>
            <w:tcBorders>
              <w:top w:val="single" w:color="4f46e5" w:sz="4"/>
              <w:left w:val="single" w:color="4f46e5" w:sz="4"/>
              <w:bottom w:val="single" w:color="4f46e5" w:sz="4"/>
              <w:right w:val="single" w:color="4f46e5" w:sz="4"/>
            </w:tcBorders>
            <w:shd w:fill="4f46e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</w:rPr>
              <w:t xml:space="preserve">Trouver une machine sur le réseau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20"/>
                <w:szCs w:val="20"/>
              </w:rPr>
              <w:t xml:space="preserve">3 points</w:t>
            </w:r>
          </w:p>
        </w:tc>
      </w:tr>
    </w:tbl>
    <w:p>
      <w:pPr>
        <w:tabs>
          <w:tab w:val="right" w:pos="10466"/>
        </w:tabs>
        <w:spacing w:after="70" w:before="160"/>
      </w:pPr>
      <w:r>
        <w:rPr>
          <w:rFonts w:ascii="Arial" w:cs="Arial" w:eastAsia="Arial" w:hAnsi="Arial"/>
          <w:b/>
          <w:bCs/>
          <w:color w:val="4f46e5"/>
          <w:sz w:val="20"/>
          <w:szCs w:val="20"/>
        </w:rPr>
        <w:t xml:space="preserve">2.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Que fait le serveur DNS avant que la page ne s’affiche ?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64748b"/>
          <w:sz w:val="18"/>
          <w:szCs w:val="18"/>
        </w:rPr>
        <w:t xml:space="preserve">2 pts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tabs>
          <w:tab w:val="right" w:pos="10466"/>
        </w:tabs>
        <w:spacing w:after="70" w:before="160"/>
      </w:pPr>
      <w:r>
        <w:rPr>
          <w:rFonts w:ascii="Arial" w:cs="Arial" w:eastAsia="Arial" w:hAnsi="Arial"/>
          <w:b/>
          <w:bCs/>
          <w:color w:val="4f46e5"/>
          <w:sz w:val="20"/>
          <w:szCs w:val="20"/>
        </w:rPr>
        <w:t xml:space="preserve">3.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Entoure la seule adresse IPv4 valide :        192.168.1.300        192.168.1.10        1921.68.1.10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64748b"/>
          <w:sz w:val="18"/>
          <w:szCs w:val="18"/>
        </w:rPr>
        <w:t xml:space="preserve">1 pt</w:t>
      </w:r>
    </w:p>
    <w:p>
      <w:pPr>
        <w:spacing w:after="1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c>
          <w:tcPr>
            <w:tcW w:type="dxa" w:w="900"/>
            <w:tcBorders>
              <w:top w:val="single" w:color="4f46e5" w:sz="4"/>
              <w:left w:val="single" w:color="4f46e5" w:sz="4"/>
              <w:bottom w:val="single" w:color="4f46e5" w:sz="4"/>
              <w:right w:val="single" w:color="4f46e5" w:sz="4"/>
            </w:tcBorders>
            <w:shd w:fill="4f46e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</w:rPr>
              <w:t xml:space="preserve">Le voyage d’un paquet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20"/>
                <w:szCs w:val="20"/>
              </w:rPr>
              <w:t xml:space="preserve">6 points</w:t>
            </w:r>
          </w:p>
        </w:tc>
      </w:tr>
    </w:tbl>
    <w:p>
      <w:pPr>
        <w:tabs>
          <w:tab w:val="right" w:pos="10466"/>
        </w:tabs>
        <w:spacing w:after="70" w:before="160"/>
      </w:pPr>
      <w:r>
        <w:rPr>
          <w:rFonts w:ascii="Arial" w:cs="Arial" w:eastAsia="Arial" w:hAnsi="Arial"/>
          <w:b/>
          <w:bCs/>
          <w:color w:val="4f46e5"/>
          <w:sz w:val="20"/>
          <w:szCs w:val="20"/>
        </w:rPr>
        <w:t xml:space="preserve">4.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Complète le tableau en indiquant le rôle de chaque protocole.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64748b"/>
          <w:sz w:val="18"/>
          <w:szCs w:val="18"/>
        </w:rPr>
        <w:t xml:space="preserve">2 pts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8066"/>
      </w:tblGrid>
      <w:t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19"/>
                <w:szCs w:val="19"/>
              </w:rPr>
              <w:t xml:space="preserve">Protocole IP</w:t>
            </w:r>
          </w:p>
        </w:tc>
        <w:tc>
          <w:tcPr>
            <w:tcW w:type="dxa" w:w="8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19"/>
                <w:szCs w:val="19"/>
              </w:rPr>
              <w:t xml:space="preserve">Protocole TCP</w:t>
            </w:r>
          </w:p>
        </w:tc>
        <w:tc>
          <w:tcPr>
            <w:tcW w:type="dxa" w:w="8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tabs>
          <w:tab w:val="right" w:pos="10466"/>
        </w:tabs>
        <w:spacing w:after="70" w:before="160"/>
      </w:pPr>
      <w:r>
        <w:rPr>
          <w:rFonts w:ascii="Arial" w:cs="Arial" w:eastAsia="Arial" w:hAnsi="Arial"/>
          <w:b/>
          <w:bCs/>
          <w:color w:val="4f46e5"/>
          <w:sz w:val="20"/>
          <w:szCs w:val="20"/>
        </w:rPr>
        <w:t xml:space="preserve">5.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Qu’est-ce que le TTL d’un paquet, et que se passe-t-il lorsqu’il atteint zéro ?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64748b"/>
          <w:sz w:val="18"/>
          <w:szCs w:val="18"/>
        </w:rPr>
        <w:t xml:space="preserve">2 pts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tabs>
          <w:tab w:val="right" w:pos="10466"/>
        </w:tabs>
        <w:spacing w:after="70" w:before="160"/>
      </w:pPr>
      <w:r>
        <w:rPr>
          <w:rFonts w:ascii="Arial" w:cs="Arial" w:eastAsia="Arial" w:hAnsi="Arial"/>
          <w:b/>
          <w:bCs/>
          <w:color w:val="4f46e5"/>
          <w:sz w:val="20"/>
          <w:szCs w:val="20"/>
        </w:rPr>
        <w:t xml:space="preserve">6.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Un routeur intermédiaire tombe en panne sur un réseau maillé. La communication est-elle forcément interrompue ? Justifie.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64748b"/>
          <w:sz w:val="18"/>
          <w:szCs w:val="18"/>
        </w:rPr>
        <w:t xml:space="preserve">2 pts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c>
          <w:tcPr>
            <w:tcW w:type="dxa" w:w="900"/>
            <w:tcBorders>
              <w:top w:val="single" w:color="4f46e5" w:sz="4"/>
              <w:left w:val="single" w:color="4f46e5" w:sz="4"/>
              <w:bottom w:val="single" w:color="4f46e5" w:sz="4"/>
              <w:right w:val="single" w:color="4f46e5" w:sz="4"/>
            </w:tcBorders>
            <w:shd w:fill="4f46e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</w:rPr>
              <w:t xml:space="preserve">Client / serveur ou pair-à-pair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20"/>
                <w:szCs w:val="20"/>
              </w:rPr>
              <w:t xml:space="preserve">4 points</w:t>
            </w:r>
          </w:p>
        </w:tc>
      </w:tr>
    </w:tbl>
    <w:p>
      <w:pPr>
        <w:spacing w:after="60" w:before="60"/>
      </w:pPr>
      <w:r>
        <w:rPr>
          <w:rFonts w:ascii="Arial" w:cs="Arial" w:eastAsia="Arial" w:hAnsi="Arial"/>
          <w:i/>
          <w:iCs/>
          <w:color w:val="64748b"/>
          <w:sz w:val="19"/>
          <w:szCs w:val="19"/>
        </w:rPr>
        <w:t xml:space="preserve">Coche la case qui convient pour chaque situation.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66"/>
        <w:gridCol w:w="2000"/>
        <w:gridCol w:w="2000"/>
      </w:tblGrid>
      <w:tr>
        <w:tc>
          <w:tcPr>
            <w:tcW w:type="dxa" w:w="6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Situation</w:t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8"/>
                <w:szCs w:val="18"/>
              </w:rPr>
              <w:t xml:space="preserve">Client / serveur</w:t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8"/>
                <w:szCs w:val="18"/>
              </w:rPr>
              <w:t xml:space="preserve">Pair-à-pair</w:t>
            </w:r>
          </w:p>
        </w:tc>
      </w:tr>
      <w:tr>
        <w:tc>
          <w:tcPr>
            <w:tcW w:type="dxa" w:w="6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Une seule machine détient le fichier et le fournit à toutes les autres.</w:t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4"/>
                <w:szCs w:val="24"/>
              </w:rPr>
              <w:t xml:space="preserve">□</w:t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4"/>
                <w:szCs w:val="24"/>
              </w:rPr>
              <w:t xml:space="preserve">□</w:t>
            </w:r>
          </w:p>
        </w:tc>
      </w:tr>
      <w:tr>
        <w:tc>
          <w:tcPr>
            <w:tcW w:type="dxa" w:w="6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Chaque machine reçoit le fichier et le fournit en même temps aux autres.</w:t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4"/>
                <w:szCs w:val="24"/>
              </w:rPr>
              <w:t xml:space="preserve">□</w:t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4"/>
                <w:szCs w:val="24"/>
              </w:rPr>
              <w:t xml:space="preserve">□</w:t>
            </w:r>
          </w:p>
        </w:tc>
      </w:tr>
      <w:tr>
        <w:tc>
          <w:tcPr>
            <w:tcW w:type="dxa" w:w="6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service s’arrête complètement si une machine précise est débranchée.</w:t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4"/>
                <w:szCs w:val="24"/>
              </w:rPr>
              <w:t xml:space="preserve">□</w:t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4"/>
                <w:szCs w:val="24"/>
              </w:rPr>
              <w:t xml:space="preserve">□</w:t>
            </w:r>
          </w:p>
        </w:tc>
      </w:tr>
      <w:tr>
        <w:tc>
          <w:tcPr>
            <w:tcW w:type="dxa" w:w="6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Plus il y a de participants, plus le téléchargement est rapide.</w:t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4"/>
                <w:szCs w:val="24"/>
              </w:rPr>
              <w:t xml:space="preserve">□</w:t>
            </w:r>
          </w:p>
        </w:tc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4"/>
                <w:szCs w:val="24"/>
              </w:rPr>
              <w:t xml:space="preserve">□</w:t>
            </w:r>
          </w:p>
        </w:tc>
      </w:tr>
    </w:tbl>
    <w:p>
      <w:pPr>
        <w:tabs>
          <w:tab w:val="right" w:pos="10466"/>
        </w:tabs>
        <w:spacing w:after="70" w:before="160"/>
      </w:pPr>
      <w:r>
        <w:rPr>
          <w:rFonts w:ascii="Arial" w:cs="Arial" w:eastAsia="Arial" w:hAnsi="Arial"/>
          <w:b/>
          <w:bCs/>
          <w:color w:val="4f46e5"/>
          <w:sz w:val="20"/>
          <w:szCs w:val="20"/>
        </w:rPr>
        <w:t xml:space="preserve">7.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Cite un usage du pair-à-pair qui est parfaitement légal, et explique pourquoi il l’est.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64748b"/>
          <w:sz w:val="18"/>
          <w:szCs w:val="18"/>
        </w:rPr>
        <w:t xml:space="preserve">2 pts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c>
          <w:tcPr>
            <w:tcW w:type="dxa" w:w="900"/>
            <w:tcBorders>
              <w:top w:val="single" w:color="4f46e5" w:sz="4"/>
              <w:left w:val="single" w:color="4f46e5" w:sz="4"/>
              <w:bottom w:val="single" w:color="4f46e5" w:sz="4"/>
              <w:right w:val="single" w:color="4f46e5" w:sz="4"/>
            </w:tcBorders>
            <w:shd w:fill="4f46e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</w:rPr>
              <w:t xml:space="preserve">Les réseaux physiques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20"/>
                <w:szCs w:val="20"/>
              </w:rPr>
              <w:t xml:space="preserve">2 points</w:t>
            </w:r>
          </w:p>
        </w:tc>
      </w:tr>
    </w:tbl>
    <w:p>
      <w:pPr>
        <w:tabs>
          <w:tab w:val="right" w:pos="10466"/>
        </w:tabs>
        <w:spacing w:after="70" w:before="160"/>
      </w:pPr>
      <w:r>
        <w:rPr>
          <w:rFonts w:ascii="Arial" w:cs="Arial" w:eastAsia="Arial" w:hAnsi="Arial"/>
          <w:b/>
          <w:bCs/>
          <w:color w:val="4f46e5"/>
          <w:sz w:val="20"/>
          <w:szCs w:val="20"/>
        </w:rPr>
        <w:t xml:space="preserve">8.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Complète le tableau : filaire ou sans fil ? Encore en service ou non ?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64748b"/>
          <w:sz w:val="18"/>
          <w:szCs w:val="18"/>
        </w:rPr>
        <w:t xml:space="preserve">2 pts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66"/>
        <w:gridCol w:w="3500"/>
        <w:gridCol w:w="3500"/>
      </w:tblGrid>
      <w:tr>
        <w:tc>
          <w:tcPr>
            <w:tcW w:type="dxa" w:w="3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8"/>
                <w:szCs w:val="18"/>
              </w:rPr>
              <w:t xml:space="preserve">Technologie</w:t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8"/>
                <w:szCs w:val="18"/>
              </w:rPr>
              <w:t xml:space="preserve">Filaire ou sans fil ?</w:t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8"/>
                <w:szCs w:val="18"/>
              </w:rPr>
              <w:t xml:space="preserve">Encore en service ?</w:t>
            </w:r>
          </w:p>
        </w:tc>
      </w:tr>
      <w:tr>
        <w:tc>
          <w:tcPr>
            <w:tcW w:type="dxa" w:w="3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Fibre optique</w:t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Câble sous-marin</w:t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RTC, le modem téléphonique</w:t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4G</w:t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c>
          <w:tcPr>
            <w:tcW w:type="dxa" w:w="900"/>
            <w:tcBorders>
              <w:top w:val="single" w:color="4f46e5" w:sz="4"/>
              <w:left w:val="single" w:color="4f46e5" w:sz="4"/>
              <w:bottom w:val="single" w:color="4f46e5" w:sz="4"/>
              <w:right w:val="single" w:color="4f46e5" w:sz="4"/>
            </w:tcBorders>
            <w:shd w:fill="4f46e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</w:rPr>
              <w:t xml:space="preserve">Débit et neutralité du Net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20"/>
                <w:szCs w:val="20"/>
              </w:rPr>
              <w:t xml:space="preserve">2 points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7d2fe" w:sz="4"/>
              <w:left w:val="single" w:color="c7d2fe" w:sz="4"/>
              <w:bottom w:val="single" w:color="c7d2fe" w:sz="4"/>
              <w:right w:val="single" w:color="c7d2fe" w:sz="4"/>
            </w:tcBorders>
            <w:shd w:fill="eef2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730a3"/>
                <w:sz w:val="18"/>
                <w:szCs w:val="18"/>
              </w:rPr>
              <w:t xml:space="preserve">Données pour répondre à la question 9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12e81"/>
                <w:sz w:val="18"/>
                <w:szCs w:val="18"/>
              </w:rPr>
              <w:t xml:space="preserve">Un film pèse 4 giga-octets, soit 32 000 mégabits.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12e81"/>
                <w:sz w:val="18"/>
                <w:szCs w:val="18"/>
              </w:rPr>
              <w:t xml:space="preserve">Débit de la fibre optique : 1 000 mégabits par seconde (Mbit/s).</w:t>
            </w:r>
          </w:p>
        </w:tc>
      </w:tr>
    </w:tbl>
    <w:p>
      <w:pPr>
        <w:tabs>
          <w:tab w:val="right" w:pos="10466"/>
        </w:tabs>
        <w:spacing w:after="70" w:before="160"/>
      </w:pPr>
      <w:r>
        <w:rPr>
          <w:rFonts w:ascii="Arial" w:cs="Arial" w:eastAsia="Arial" w:hAnsi="Arial"/>
          <w:b/>
          <w:bCs/>
          <w:color w:val="4f46e5"/>
          <w:sz w:val="20"/>
          <w:szCs w:val="20"/>
        </w:rPr>
        <w:t xml:space="preserve">9.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Combien de temps faut-il pour télécharger ce film avec la fibre ? Donne ton calcul.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64748b"/>
          <w:sz w:val="18"/>
          <w:szCs w:val="18"/>
        </w:rPr>
        <w:t xml:space="preserve">1 pt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tabs>
          <w:tab w:val="right" w:pos="10466"/>
        </w:tabs>
        <w:spacing w:after="70" w:before="160"/>
      </w:pPr>
      <w:r>
        <w:rPr>
          <w:rFonts w:ascii="Arial" w:cs="Arial" w:eastAsia="Arial" w:hAnsi="Arial"/>
          <w:b/>
          <w:bCs/>
          <w:color w:val="4f46e5"/>
          <w:sz w:val="20"/>
          <w:szCs w:val="20"/>
        </w:rPr>
        <w:t xml:space="preserve">10.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Un opérateur décide de ralentir uniquement les vidéos, les autres contenus passant normalement. Respecte-t-il la neutralité du Net ? Justifie.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64748b"/>
          <w:sz w:val="18"/>
          <w:szCs w:val="18"/>
        </w:rPr>
        <w:t xml:space="preserve">1 pt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0466"/>
            <w:tcBorders>
              <w:top w:val="single" w:color="94a3b8" w:sz="4"/>
              <w:left w:val="single" w:color="FFFFFF" w:sz="4"/>
              <w:bottom w:val="single" w:color="94a3b8" w:sz="4"/>
              <w:right w:val="single" w:color="FFFFFF" w:sz="4"/>
            </w:tcBorders>
          </w:tcPr>
          <w:p>
            <w:pPr>
              <w:spacing w:after="90" w:before="9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40" w:before="8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CORRECTION ET BARÈME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4b5fd"/>
                <w:sz w:val="19"/>
                <w:szCs w:val="19"/>
              </w:rPr>
              <w:t xml:space="preserve">Évaluation Thème Internet   |   SNT Seconde   |   Document professeur</w:t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600"/>
        <w:gridCol w:w="3066"/>
      </w:tblGrid>
      <w:tr>
        <w:tc>
          <w:tcPr>
            <w:tcW w:type="dxa" w:w="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N°</w:t>
            </w:r>
          </w:p>
        </w:tc>
        <w:tc>
          <w:tcPr>
            <w:tcW w:type="dxa" w:w="6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Réponse attendue</w:t>
            </w:r>
          </w:p>
        </w:tc>
        <w:tc>
          <w:tcPr>
            <w:tcW w:type="dxa" w:w="3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Barème</w:t>
            </w:r>
          </w:p>
        </w:tc>
      </w:tr>
      <w:tr>
        <w:tc>
          <w:tcPr>
            <w:tcW w:type="dxa" w:w="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19"/>
                <w:szCs w:val="19"/>
              </w:rPr>
              <w:t xml:space="preserve">Ex. 1</w:t>
            </w:r>
          </w:p>
        </w:tc>
        <w:tc>
          <w:tcPr>
            <w:tcW w:type="dxa" w:w="6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1969 : les quatre premiers ordinateurs d’ARPANET. 1971 : Cyclades. 1974 : publication de TCP/IP. 1983 : naissance d’Internet.</w:t>
            </w:r>
          </w:p>
        </w:tc>
        <w:tc>
          <w:tcPr>
            <w:tcW w:type="dxa" w:w="3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7"/>
                <w:szCs w:val="17"/>
              </w:rPr>
              <w:t xml:space="preserve">0,5 pt par association juste, soit 2 pts</w:t>
            </w:r>
          </w:p>
        </w:tc>
      </w:tr>
      <w:tr>
        <w:tc>
          <w:tcPr>
            <w:tcW w:type="dxa" w:w="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19"/>
                <w:szCs w:val="19"/>
              </w:rPr>
              <w:t xml:space="preserve">1.</w:t>
            </w:r>
          </w:p>
        </w:tc>
        <w:tc>
          <w:tcPr>
            <w:tcW w:type="dxa" w:w="6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Non. Internet est le réseau physique et logique qui relie les machines ; le Web est un service qui fonctionne dessus, inventé bien plus tard. Le courriel est un autre service d’Internet, indépendant du Web.</w:t>
            </w:r>
          </w:p>
        </w:tc>
        <w:tc>
          <w:tcPr>
            <w:tcW w:type="dxa" w:w="3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7"/>
                <w:szCs w:val="17"/>
              </w:rPr>
              <w:t xml:space="preserve">0,5 pt pour non + 0,5 pt pour la justification</w:t>
            </w:r>
          </w:p>
        </w:tc>
      </w:tr>
      <w:tr>
        <w:tc>
          <w:tcPr>
            <w:tcW w:type="dxa" w:w="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19"/>
                <w:szCs w:val="19"/>
              </w:rPr>
              <w:t xml:space="preserve">2.</w:t>
            </w:r>
          </w:p>
        </w:tc>
        <w:tc>
          <w:tcPr>
            <w:tcW w:type="dxa" w:w="6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Le navigateur interroge un serveur DNS pour obtenir l’adresse IP correspondant au nom de domaine saisi. Le DNS joue le rôle d’annuaire : il traduit un nom, fait pour les humains, en adresse numérique, faite pour les machines. Ce n’est qu’ensuite que le navigateur contacte le serveur du site.</w:t>
            </w:r>
          </w:p>
        </w:tc>
        <w:tc>
          <w:tcPr>
            <w:tcW w:type="dxa" w:w="3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7"/>
                <w:szCs w:val="17"/>
              </w:rPr>
              <w:t xml:space="preserve">1 pt pour la traduction nom vers IP, 1 pt pour l’idée d’annuaire ou l’ordre des étapes</w:t>
            </w:r>
          </w:p>
        </w:tc>
      </w:tr>
      <w:tr>
        <w:tc>
          <w:tcPr>
            <w:tcW w:type="dxa" w:w="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19"/>
                <w:szCs w:val="19"/>
              </w:rPr>
              <w:t xml:space="preserve">3.</w:t>
            </w:r>
          </w:p>
        </w:tc>
        <w:tc>
          <w:tcPr>
            <w:tcW w:type="dxa" w:w="6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192.168.1.10. Les deux autres sont invalides : 300 dépasse 255, et 1921 aussi.</w:t>
            </w:r>
          </w:p>
        </w:tc>
        <w:tc>
          <w:tcPr>
            <w:tcW w:type="dxa" w:w="3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7"/>
                <w:szCs w:val="17"/>
              </w:rPr>
              <w:t xml:space="preserve">1 pt, sans demi-point</w:t>
            </w:r>
          </w:p>
        </w:tc>
      </w:tr>
      <w:tr>
        <w:tc>
          <w:tcPr>
            <w:tcW w:type="dxa" w:w="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19"/>
                <w:szCs w:val="19"/>
              </w:rPr>
              <w:t xml:space="preserve">4.</w:t>
            </w:r>
          </w:p>
        </w:tc>
        <w:tc>
          <w:tcPr>
            <w:tcW w:type="dxa" w:w="6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IP : donne une adresse à chaque paquet et l’achemine de routeur en routeur, sans garantir ni l’ordre ni l’arrivée. TCP : découpe et numérote les paquets, les remet dans l’ordre à l’arrivée, élimine les doublons et redemande ceux qui manquent.</w:t>
            </w:r>
          </w:p>
        </w:tc>
        <w:tc>
          <w:tcPr>
            <w:tcW w:type="dxa" w:w="3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7"/>
                <w:szCs w:val="17"/>
              </w:rPr>
              <w:t xml:space="preserve">1 pt par ligne correctement remplie</w:t>
            </w:r>
          </w:p>
        </w:tc>
      </w:tr>
      <w:tr>
        <w:tc>
          <w:tcPr>
            <w:tcW w:type="dxa" w:w="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19"/>
                <w:szCs w:val="19"/>
              </w:rPr>
              <w:t xml:space="preserve">5.</w:t>
            </w:r>
          </w:p>
        </w:tc>
        <w:tc>
          <w:tcPr>
            <w:tcW w:type="dxa" w:w="6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Le TTL est un compteur inscrit dans chaque paquet, décrémenté par chaque routeur traversé. À zéro, le routeur détruit le paquet au lieu de le transmettre. Cela évite qu’un paquet mal orienté tourne indéfiniment et sature le réseau.</w:t>
            </w:r>
          </w:p>
        </w:tc>
        <w:tc>
          <w:tcPr>
            <w:tcW w:type="dxa" w:w="3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7"/>
                <w:szCs w:val="17"/>
              </w:rPr>
              <w:t xml:space="preserve">1 pt pour le compteur qui décroît, 1 pt pour la destruction et son utilité</w:t>
            </w:r>
          </w:p>
        </w:tc>
      </w:tr>
      <w:tr>
        <w:tc>
          <w:tcPr>
            <w:tcW w:type="dxa" w:w="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19"/>
                <w:szCs w:val="19"/>
              </w:rPr>
              <w:t xml:space="preserve">6.</w:t>
            </w:r>
          </w:p>
        </w:tc>
        <w:tc>
          <w:tcPr>
            <w:tcW w:type="dxa" w:w="6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Non, pas forcément. Sur un réseau maillé il existe plusieurs chemins : les routeurs voisins constatent la panne et transmettent par un autre chemin. La communication n’est coupée que si le routeur en panne était un passage obligé.</w:t>
            </w:r>
          </w:p>
        </w:tc>
        <w:tc>
          <w:tcPr>
            <w:tcW w:type="dxa" w:w="3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7"/>
                <w:szCs w:val="17"/>
              </w:rPr>
              <w:t xml:space="preserve">1 pt pour non + 1 pt pour la justification par les chemins alternatifs</w:t>
            </w:r>
          </w:p>
        </w:tc>
      </w:tr>
      <w:tr>
        <w:tc>
          <w:tcPr>
            <w:tcW w:type="dxa" w:w="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19"/>
                <w:szCs w:val="19"/>
              </w:rPr>
              <w:t xml:space="preserve">Ex. 4</w:t>
            </w:r>
          </w:p>
        </w:tc>
        <w:tc>
          <w:tcPr>
            <w:tcW w:type="dxa" w:w="6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Client/serveur : lignes 1 et 3. Pair-à-pair : lignes 2 et 4.</w:t>
            </w:r>
          </w:p>
        </w:tc>
        <w:tc>
          <w:tcPr>
            <w:tcW w:type="dxa" w:w="3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7"/>
                <w:szCs w:val="17"/>
              </w:rPr>
              <w:t xml:space="preserve">0,5 pt par ligne juste, soit 2 pts</w:t>
            </w:r>
          </w:p>
        </w:tc>
      </w:tr>
      <w:tr>
        <w:tc>
          <w:tcPr>
            <w:tcW w:type="dxa" w:w="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19"/>
                <w:szCs w:val="19"/>
              </w:rPr>
              <w:t xml:space="preserve">7.</w:t>
            </w:r>
          </w:p>
        </w:tc>
        <w:tc>
          <w:tcPr>
            <w:tcW w:type="dxa" w:w="6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Exemples acceptés : télécharger une distribution Linux depuis son site officiel, partager ses propres photos, recevoir la mise à jour d’un jeu distribuée par son studio. C’est licite parce que l’auteur ou le titulaire des droits autorise explicitement ce partage.</w:t>
            </w:r>
          </w:p>
        </w:tc>
        <w:tc>
          <w:tcPr>
            <w:tcW w:type="dxa" w:w="3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7"/>
                <w:szCs w:val="17"/>
              </w:rPr>
              <w:t xml:space="preserve">1 pt pour l’exemple, 1 pt pour la justification par l’autorisation de l’auteur</w:t>
            </w:r>
          </w:p>
        </w:tc>
      </w:tr>
      <w:tr>
        <w:tc>
          <w:tcPr>
            <w:tcW w:type="dxa" w:w="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19"/>
                <w:szCs w:val="19"/>
              </w:rPr>
              <w:t xml:space="preserve">8.</w:t>
            </w:r>
          </w:p>
        </w:tc>
        <w:tc>
          <w:tcPr>
            <w:tcW w:type="dxa" w:w="6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Fibre optique : filaire, en service. Câble sous-marin : filaire, en service. RTC : filaire, arrêté en 2023. 4G : sans fil, en service.</w:t>
            </w:r>
          </w:p>
        </w:tc>
        <w:tc>
          <w:tcPr>
            <w:tcW w:type="dxa" w:w="3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7"/>
                <w:szCs w:val="17"/>
              </w:rPr>
              <w:t xml:space="preserve">0,25 pt par case juste, soit 2 pts</w:t>
            </w:r>
          </w:p>
        </w:tc>
      </w:tr>
      <w:tr>
        <w:tc>
          <w:tcPr>
            <w:tcW w:type="dxa" w:w="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19"/>
                <w:szCs w:val="19"/>
              </w:rPr>
              <w:t xml:space="preserve">9.</w:t>
            </w:r>
          </w:p>
        </w:tc>
        <w:tc>
          <w:tcPr>
            <w:tcW w:type="dxa" w:w="6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32 000 divisés par 1 000 égale 32 secondes.</w:t>
            </w:r>
          </w:p>
        </w:tc>
        <w:tc>
          <w:tcPr>
            <w:tcW w:type="dxa" w:w="3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7"/>
                <w:szCs w:val="17"/>
              </w:rPr>
              <w:t xml:space="preserve">0,5 pt pour le calcul posé, 0,5 pt pour le résultat</w:t>
            </w:r>
          </w:p>
        </w:tc>
      </w:tr>
      <w:tr>
        <w:tc>
          <w:tcPr>
            <w:tcW w:type="dxa" w:w="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19"/>
                <w:szCs w:val="19"/>
              </w:rPr>
              <w:t xml:space="preserve">10.</w:t>
            </w:r>
          </w:p>
        </w:tc>
        <w:tc>
          <w:tcPr>
            <w:tcW w:type="dxa" w:w="6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Non, il ne la respecte pas. Le traitement dépend du type de contenu, alors que la neutralité impose de transmettre les paquets indépendamment de ce qu’ils contiennent.</w:t>
            </w:r>
          </w:p>
        </w:tc>
        <w:tc>
          <w:tcPr>
            <w:tcW w:type="dxa" w:w="30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7"/>
                <w:szCs w:val="17"/>
              </w:rPr>
              <w:t xml:space="preserve">0,5 pt pour non + 0,5 pt pour la justification</w:t>
            </w:r>
          </w:p>
        </w:tc>
      </w:tr>
    </w:tbl>
    <w:p>
      <w:pPr>
        <w:spacing w:after="20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p>
      <w:pPr>
        <w:spacing w:after="120" w:before="10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GRILLE DE NOTATION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66"/>
        <w:gridCol w:w="3000"/>
      </w:tblGrid>
      <w:tr>
        <w:tc>
          <w:tcPr>
            <w:tcW w:type="dxa" w:w="7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Exercice</w:t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Note obtenue</w:t>
            </w:r>
          </w:p>
        </w:tc>
      </w:tr>
      <w:tr>
        <w:tc>
          <w:tcPr>
            <w:tcW w:type="dxa" w:w="7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Exercice 1 — Les repères historiques</w:t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19"/>
                <w:szCs w:val="19"/>
              </w:rPr>
              <w:t xml:space="preserve">        / 3</w:t>
            </w:r>
          </w:p>
        </w:tc>
      </w:tr>
      <w:tr>
        <w:tc>
          <w:tcPr>
            <w:tcW w:type="dxa" w:w="7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Exercice 2 — Trouver une machine sur le réseau</w:t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19"/>
                <w:szCs w:val="19"/>
              </w:rPr>
              <w:t xml:space="preserve">        / 3</w:t>
            </w:r>
          </w:p>
        </w:tc>
      </w:tr>
      <w:tr>
        <w:tc>
          <w:tcPr>
            <w:tcW w:type="dxa" w:w="7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Exercice 3 — Le voyage d’un paquet</w:t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19"/>
                <w:szCs w:val="19"/>
              </w:rPr>
              <w:t xml:space="preserve">        / 6</w:t>
            </w:r>
          </w:p>
        </w:tc>
      </w:tr>
      <w:tr>
        <w:tc>
          <w:tcPr>
            <w:tcW w:type="dxa" w:w="7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Exercice 4 — Client / serveur ou pair-à-pair</w:t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19"/>
                <w:szCs w:val="19"/>
              </w:rPr>
              <w:t xml:space="preserve">        / 4</w:t>
            </w:r>
          </w:p>
        </w:tc>
      </w:tr>
      <w:tr>
        <w:tc>
          <w:tcPr>
            <w:tcW w:type="dxa" w:w="7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Exercice 5 — Les réseaux physiques</w:t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19"/>
                <w:szCs w:val="19"/>
              </w:rPr>
              <w:t xml:space="preserve">        / 2</w:t>
            </w:r>
          </w:p>
        </w:tc>
      </w:tr>
      <w:tr>
        <w:tc>
          <w:tcPr>
            <w:tcW w:type="dxa" w:w="7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Exercice 6 — Débit et neutralité du Net</w:t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f46e5"/>
                <w:sz w:val="19"/>
                <w:szCs w:val="19"/>
              </w:rPr>
              <w:t xml:space="preserve">        / 2</w:t>
            </w:r>
          </w:p>
        </w:tc>
      </w:tr>
      <w:tr>
        <w:tc>
          <w:tcPr>
            <w:tcW w:type="dxa" w:w="7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</w:rPr>
              <w:t xml:space="preserve">TOTAL</w:t>
            </w:r>
          </w:p>
        </w:tc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1"/>
                <w:szCs w:val="21"/>
              </w:rPr>
              <w:t xml:space="preserve">        / 20</w:t>
            </w:r>
          </w:p>
        </w:tc>
      </w:tr>
    </w:tbl>
    <w:p>
      <w:pPr>
        <w:spacing w:after="1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19"/>
                <w:szCs w:val="19"/>
              </w:rPr>
              <w:t xml:space="preserve">Conseils de correction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Les questions 2, 5, 6, 7 et 10 attendent une justification. Une réponse juste sans justification ne vaut que la moitié des points : c’est le raisonnement qui est évalué, pas la mémorisation.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Question 9 : accepter le résultat sans calcul posé si le raisonnement est visible ailleurs. Une erreur de conversion octets-bits n’est pas pénalisée deux fois.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Question 7 : accepter tout exemple licite, y compris hors de ceux vus en classe, dès lors que la justification porte sur l’autorisation de l’auteur.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94a3b8"/>
        <w:sz w:val="16"/>
        <w:szCs w:val="16"/>
      </w:rPr>
      <w:t xml:space="preserve">monprofdetechnologie.fr  --  Évaluation Thème Internet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2026-09-03T11:31:42.514Z</dcterms:created>
  <dcterms:modified xsi:type="dcterms:W3CDTF">2026-09-03T11:31:42.514Z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