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single" w:color="FFFFFF" w:sz="4"/>
              <w:left w:val="single" w:color="FFFFFF" w:sz="4"/>
              <w:bottom w:val="single" w:color="FFFFFF" w:sz="4"/>
              <w:right w:val="single" w:color="FFFFFF" w:sz="4"/>
            </w:tcBorders>
            <w:shd w:fill="0c1a2e" w:color="auto" w:val="clear"/>
            <w:tcMar>
              <w:top w:type="dxa" w:w="90"/>
              <w:left w:type="dxa" w:w="100"/>
              <w:bottom w:type="dxa" w:w="90"/>
              <w:right w:type="dxa" w:w="100"/>
            </w:tcMar>
            <w:vAlign w:val="center"/>
          </w:tcPr>
          <w:p>
            <w:pPr>
              <w:spacing w:after="40" w:before="0"/>
              <w:jc w:val="left"/>
            </w:pPr>
            <w:r>
              <w:rPr>
                <w:rFonts w:ascii="Arial" w:cs="Arial" w:eastAsia="Arial" w:hAnsi="Arial"/>
                <w:b/>
                <w:bCs/>
                <w:i w:val="false"/>
                <w:iCs w:val="false"/>
                <w:color w:val="FFFFFF"/>
                <w:sz w:val="28"/>
                <w:szCs w:val="28"/>
              </w:rPr>
              <w:t xml:space="preserve">BONUS — Derrière les adresses</w:t>
            </w:r>
          </w:p>
          <w:p>
            <w:pPr>
              <w:spacing w:after="40" w:before="0"/>
              <w:jc w:val="left"/>
            </w:pPr>
            <w:r>
              <w:rPr>
                <w:rFonts w:ascii="Arial" w:cs="Arial" w:eastAsia="Arial" w:hAnsi="Arial"/>
                <w:b w:val="false"/>
                <w:bCs w:val="false"/>
                <w:i w:val="false"/>
                <w:iCs w:val="false"/>
                <w:color w:val="c4b5fd"/>
                <w:sz w:val="20"/>
                <w:szCs w:val="20"/>
              </w:rPr>
              <w:t xml:space="preserve">SNT Seconde   |   Internet   |   Activité supplémentaire</w:t>
            </w:r>
          </w:p>
          <w:p>
            <w:pPr>
              <w:spacing w:after="0" w:before="0"/>
              <w:jc w:val="left"/>
            </w:pPr>
            <w:r>
              <w:rPr>
                <w:rFonts w:ascii="Arial" w:cs="Arial" w:eastAsia="Arial" w:hAnsi="Arial"/>
                <w:b w:val="false"/>
                <w:bCs w:val="false"/>
                <w:i/>
                <w:iCs/>
                <w:color w:val="a78bfa"/>
                <w:sz w:val="18"/>
                <w:szCs w:val="18"/>
              </w:rPr>
              <w:t xml:space="preserve">Pour les élèves qui ont terminé en avance</w:t>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single" w:color="cbd5e1" w:sz="4"/>
              <w:left w:val="single" w:color="cbd5e1" w:sz="4"/>
              <w:bottom w:val="single" w:color="cbd5e1" w:sz="4"/>
              <w:right w:val="single" w:color="cbd5e1" w:sz="4"/>
            </w:tcBorders>
            <w:shd w:fill="f5f3ff" w:color="auto" w:val="clear"/>
            <w:tcMar>
              <w:top w:type="dxa" w:w="90"/>
              <w:left w:type="dxa" w:w="100"/>
              <w:bottom w:type="dxa" w:w="90"/>
              <w:right w:type="dxa" w:w="100"/>
            </w:tcMar>
            <w:vAlign w:val="center"/>
          </w:tcPr>
          <w:p>
            <w:pPr>
              <w:spacing w:after="60" w:before="0"/>
              <w:jc w:val="left"/>
            </w:pPr>
            <w:r>
              <w:rPr>
                <w:rFonts w:ascii="Arial" w:cs="Arial" w:eastAsia="Arial" w:hAnsi="Arial"/>
                <w:b/>
                <w:bCs/>
                <w:i w:val="false"/>
                <w:iCs w:val="false"/>
                <w:color w:val="8b5cf6"/>
                <w:sz w:val="20"/>
                <w:szCs w:val="20"/>
              </w:rPr>
              <w:t xml:space="preserve">Note pour le professeur</w:t>
            </w:r>
          </w:p>
          <w:p>
            <w:pPr>
              <w:spacing w:after="60" w:before="0"/>
              <w:jc w:val="left"/>
            </w:pPr>
            <w:r>
              <w:rPr>
                <w:rFonts w:ascii="Arial" w:cs="Arial" w:eastAsia="Arial" w:hAnsi="Arial"/>
                <w:b w:val="false"/>
                <w:bCs w:val="false"/>
                <w:i w:val="false"/>
                <w:iCs w:val="false"/>
                <w:color w:val="334155"/>
                <w:sz w:val="19"/>
                <w:szCs w:val="19"/>
              </w:rPr>
              <w:t xml:space="preserve">Ce document prolonge la séance 2 sans empiéter sur les suivantes : le protocole TCP/IP est traité en séance 3, la neutralité du Net en séance 5.</w:t>
            </w:r>
          </w:p>
          <w:p>
            <w:pPr>
              <w:spacing w:after="60" w:before="0"/>
              <w:jc w:val="left"/>
            </w:pPr>
            <w:r>
              <w:rPr>
                <w:rFonts w:ascii="Arial" w:cs="Arial" w:eastAsia="Arial" w:hAnsi="Arial"/>
                <w:b w:val="false"/>
                <w:bCs w:val="false"/>
                <w:i w:val="false"/>
                <w:iCs w:val="false"/>
                <w:color w:val="334155"/>
                <w:sz w:val="19"/>
                <w:szCs w:val="19"/>
              </w:rPr>
              <w:t xml:space="preserve">La partie 1 utilise les commandes réseau du système. Elles sont souvent bloquées sur les postes élèves : dans ce cas, passer directement aux parties 2 et 3, qui se font sans machine.</w:t>
            </w:r>
          </w:p>
          <w:p>
            <w:pPr>
              <w:spacing w:after="0" w:before="0"/>
              <w:jc w:val="left"/>
            </w:pPr>
            <w:r>
              <w:rPr>
                <w:rFonts w:ascii="Arial" w:cs="Arial" w:eastAsia="Arial" w:hAnsi="Arial"/>
                <w:b w:val="false"/>
                <w:bCs w:val="false"/>
                <w:i w:val="false"/>
                <w:iCs w:val="false"/>
                <w:color w:val="334155"/>
                <w:sz w:val="19"/>
                <w:szCs w:val="19"/>
              </w:rPr>
              <w:t xml:space="preserve">Durée estimée : 15 à 20 minutes, en autonomie.</w:t>
            </w:r>
          </w:p>
        </w:tc>
      </w:tr>
    </w:tbl>
    <w:p>
      <w:pPr>
        <w:spacing w:after="120" w:before="280"/>
      </w:pPr>
      <w:r>
        <w:rPr>
          <w:rFonts w:ascii="Arial" w:cs="Arial" w:eastAsia="Arial" w:hAnsi="Arial"/>
          <w:b/>
          <w:bCs/>
          <w:i w:val="false"/>
          <w:iCs w:val="false"/>
          <w:color w:val="8b5cf6"/>
          <w:sz w:val="22"/>
          <w:szCs w:val="22"/>
        </w:rPr>
        <w:t xml:space="preserve">PARTIE 1 — LES VRAIES COMMANDES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single" w:color="cbd5e1" w:sz="4"/>
              <w:left w:val="single" w:color="cbd5e1" w:sz="4"/>
              <w:bottom w:val="single" w:color="cbd5e1" w:sz="4"/>
              <w:right w:val="single" w:color="cbd5e1" w:sz="4"/>
            </w:tcBorders>
            <w:shd w:fill="f8fafc" w:color="auto" w:val="clear"/>
            <w:tcMar>
              <w:top w:type="dxa" w:w="90"/>
              <w:left w:type="dxa" w:w="100"/>
              <w:bottom w:type="dxa" w:w="90"/>
              <w:right w:type="dxa" w:w="100"/>
            </w:tcMar>
            <w:vAlign w:val="center"/>
          </w:tcPr>
          <w:p>
            <w:pPr>
              <w:spacing w:after="80" w:before="0"/>
              <w:jc w:val="left"/>
            </w:pPr>
            <w:r>
              <w:rPr>
                <w:rFonts w:ascii="Arial" w:cs="Arial" w:eastAsia="Arial" w:hAnsi="Arial"/>
                <w:b/>
                <w:bCs/>
                <w:i w:val="false"/>
                <w:iCs w:val="false"/>
                <w:color w:val="8b5cf6"/>
                <w:sz w:val="21"/>
                <w:szCs w:val="21"/>
              </w:rPr>
              <w:t xml:space="preserve">Ouvrir un terminal</w:t>
            </w:r>
          </w:p>
          <w:p>
            <w:pPr>
              <w:spacing w:after="80" w:before="0"/>
              <w:jc w:val="left"/>
            </w:pPr>
            <w:r>
              <w:rPr>
                <w:rFonts w:ascii="Arial" w:cs="Arial" w:eastAsia="Arial" w:hAnsi="Arial"/>
                <w:b w:val="false"/>
                <w:bCs w:val="false"/>
                <w:i w:val="false"/>
                <w:iCs w:val="false"/>
                <w:color w:val="334155"/>
                <w:sz w:val="19"/>
                <w:szCs w:val="19"/>
              </w:rPr>
              <w:t xml:space="preserve">Sous Windows : touche Windows, puis taper cmd. Sous Linux ou macOS : ouvrir l’application Terminal.</w:t>
            </w:r>
          </w:p>
          <w:p>
            <w:pPr>
              <w:spacing w:after="40" w:before="0"/>
              <w:jc w:val="left"/>
            </w:pPr>
            <w:r>
              <w:rPr>
                <w:rFonts w:ascii="Consolas" w:cs="Consolas" w:eastAsia="Consolas" w:hAnsi="Consolas"/>
                <w:b/>
                <w:bCs/>
                <w:i w:val="false"/>
                <w:iCs w:val="false"/>
                <w:color w:val="334155"/>
                <w:sz w:val="19"/>
                <w:szCs w:val="19"/>
              </w:rPr>
              <w:t xml:space="preserve">Commande 1  —  ipconfig /all     (Linux ou macOS : ifconfig)</w:t>
            </w:r>
          </w:p>
          <w:p>
            <w:pPr>
              <w:spacing w:after="80" w:before="0"/>
              <w:jc w:val="left"/>
            </w:pPr>
            <w:r>
              <w:rPr>
                <w:rFonts w:ascii="Arial" w:cs="Arial" w:eastAsia="Arial" w:hAnsi="Arial"/>
                <w:b w:val="false"/>
                <w:bCs w:val="false"/>
                <w:i w:val="false"/>
                <w:iCs w:val="false"/>
                <w:color w:val="334155"/>
                <w:sz w:val="19"/>
                <w:szCs w:val="19"/>
              </w:rPr>
              <w:t xml:space="preserve">Elle affiche la configuration réseau de la machine : son adresse IP, celle de la passerelle et celle du serveur DNS utilisé.</w:t>
            </w:r>
          </w:p>
          <w:p>
            <w:pPr>
              <w:spacing w:after="40" w:before="0"/>
              <w:jc w:val="left"/>
            </w:pPr>
            <w:r>
              <w:rPr>
                <w:rFonts w:ascii="Consolas" w:cs="Consolas" w:eastAsia="Consolas" w:hAnsi="Consolas"/>
                <w:b/>
                <w:bCs/>
                <w:i w:val="false"/>
                <w:iCs w:val="false"/>
                <w:color w:val="334155"/>
                <w:sz w:val="19"/>
                <w:szCs w:val="19"/>
              </w:rPr>
              <w:t xml:space="preserve">Commande 2  —  nslookup lemonde.fr</w:t>
            </w:r>
          </w:p>
          <w:p>
            <w:pPr>
              <w:spacing w:after="80" w:before="0"/>
              <w:jc w:val="left"/>
            </w:pPr>
            <w:r>
              <w:rPr>
                <w:rFonts w:ascii="Arial" w:cs="Arial" w:eastAsia="Arial" w:hAnsi="Arial"/>
                <w:b w:val="false"/>
                <w:bCs w:val="false"/>
                <w:i w:val="false"/>
                <w:iCs w:val="false"/>
                <w:color w:val="334155"/>
                <w:sz w:val="19"/>
                <w:szCs w:val="19"/>
              </w:rPr>
              <w:t xml:space="preserve">Elle interroge le serveur DNS et affiche l’adresse IP correspondant au nom demandé. C’est exactement la résolution étudiée en activité 2.</w:t>
            </w:r>
          </w:p>
          <w:p>
            <w:pPr>
              <w:spacing w:after="40" w:before="0"/>
              <w:jc w:val="left"/>
            </w:pPr>
            <w:r>
              <w:rPr>
                <w:rFonts w:ascii="Consolas" w:cs="Consolas" w:eastAsia="Consolas" w:hAnsi="Consolas"/>
                <w:b/>
                <w:bCs/>
                <w:i w:val="false"/>
                <w:iCs w:val="false"/>
                <w:color w:val="334155"/>
                <w:sz w:val="19"/>
                <w:szCs w:val="19"/>
              </w:rPr>
              <w:t xml:space="preserve">Commande 3  —  ping lemonde.fr</w:t>
            </w:r>
          </w:p>
          <w:p>
            <w:pPr>
              <w:spacing w:after="0" w:before="0"/>
              <w:jc w:val="left"/>
            </w:pPr>
            <w:r>
              <w:rPr>
                <w:rFonts w:ascii="Arial" w:cs="Arial" w:eastAsia="Arial" w:hAnsi="Arial"/>
                <w:b w:val="false"/>
                <w:bCs w:val="false"/>
                <w:i w:val="false"/>
                <w:iCs w:val="false"/>
                <w:color w:val="334155"/>
                <w:sz w:val="19"/>
                <w:szCs w:val="19"/>
              </w:rPr>
              <w:t xml:space="preserve">Elle envoie quelques messages courts au serveur et affiche son adresse IP ainsi que le temps de réponse.</w:t>
            </w:r>
          </w:p>
        </w:tc>
      </w:tr>
    </w:tbl>
    <w:p>
      <w:pPr>
        <w:spacing w:after="8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6266"/>
        <w:gridCol w:w="4200"/>
      </w:tblGrid>
      <w:tr>
        <w:tc>
          <w:tcPr>
            <w:tcW w:type="dxa" w:w="6266"/>
            <w:tcBorders>
              <w:top w:val="single" w:color="cbd5e1" w:sz="4"/>
              <w:left w:val="single" w:color="cbd5e1" w:sz="4"/>
              <w:bottom w:val="single" w:color="cbd5e1" w:sz="4"/>
              <w:right w:val="single" w:color="cbd5e1" w:sz="4"/>
            </w:tcBorders>
            <w:shd w:fill="f5f3ff" w:color="auto" w:val="clear"/>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1e293b"/>
                <w:sz w:val="19"/>
                <w:szCs w:val="19"/>
              </w:rPr>
              <w:t xml:space="preserve">Question</w:t>
            </w:r>
          </w:p>
        </w:tc>
        <w:tc>
          <w:tcPr>
            <w:tcW w:type="dxa" w:w="4200"/>
            <w:tcBorders>
              <w:top w:val="single" w:color="cbd5e1" w:sz="4"/>
              <w:left w:val="single" w:color="cbd5e1" w:sz="4"/>
              <w:bottom w:val="single" w:color="cbd5e1" w:sz="4"/>
              <w:right w:val="single" w:color="cbd5e1" w:sz="4"/>
            </w:tcBorders>
            <w:shd w:fill="f5f3ff" w:color="auto" w:val="clear"/>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1e293b"/>
                <w:sz w:val="19"/>
                <w:szCs w:val="19"/>
              </w:rPr>
              <w:t xml:space="preserve">Ta réponse</w:t>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Quelle est l’adresse IP de ton ordinateur sur le réseau local ?</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Quelle est l’adresse IP du serveur DNS que ton ordinateur utilise ?</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Quelle adresse IP nslookup renvoie-t-il pour lemonde.fr ?</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Tape cette adresse IP directement dans la barre du navigateur. Que se passe-t-il ? Décris le résultat.</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Relance nslookup sur un site que tu viens de visiter, puis sur un site jamais consulté. Observes-tu une différence de rapidité ? Relie ta réponse à la notion de cache.</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bl>
    <w:p>
      <w:pPr>
        <w:spacing w:after="120" w:before="280"/>
      </w:pPr>
      <w:r>
        <w:rPr>
          <w:rFonts w:ascii="Arial" w:cs="Arial" w:eastAsia="Arial" w:hAnsi="Arial"/>
          <w:b/>
          <w:bCs/>
          <w:i w:val="false"/>
          <w:iCs w:val="false"/>
          <w:color w:val="8b5cf6"/>
          <w:sz w:val="22"/>
          <w:szCs w:val="22"/>
        </w:rPr>
        <w:t xml:space="preserve">PARTIE 2 — COMBIEN D’ADRESSES EXISTE-T-IL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single" w:color="cbd5e1" w:sz="4"/>
              <w:left w:val="single" w:color="cbd5e1" w:sz="4"/>
              <w:bottom w:val="single" w:color="cbd5e1" w:sz="4"/>
              <w:right w:val="single" w:color="cbd5e1" w:sz="4"/>
            </w:tcBorders>
            <w:shd w:fill="f8fafc" w:color="auto" w:val="clear"/>
            <w:tcMar>
              <w:top w:type="dxa" w:w="90"/>
              <w:left w:type="dxa" w:w="100"/>
              <w:bottom w:type="dxa" w:w="90"/>
              <w:right w:type="dxa" w:w="100"/>
            </w:tcMar>
            <w:vAlign w:val="center"/>
          </w:tcPr>
          <w:p>
            <w:pPr>
              <w:spacing w:after="80" w:before="0"/>
              <w:jc w:val="left"/>
            </w:pPr>
            <w:r>
              <w:rPr>
                <w:rFonts w:ascii="Arial" w:cs="Arial" w:eastAsia="Arial" w:hAnsi="Arial"/>
                <w:b/>
                <w:bCs/>
                <w:i w:val="false"/>
                <w:iCs w:val="false"/>
                <w:color w:val="8b5cf6"/>
                <w:sz w:val="21"/>
                <w:szCs w:val="21"/>
              </w:rPr>
              <w:t xml:space="preserve">Combien d’adresses IPv4 existe-t-il ?</w:t>
            </w:r>
          </w:p>
          <w:p>
            <w:pPr>
              <w:spacing w:after="60" w:before="0"/>
              <w:jc w:val="left"/>
            </w:pPr>
            <w:r>
              <w:rPr>
                <w:rFonts w:ascii="Arial" w:cs="Arial" w:eastAsia="Arial" w:hAnsi="Arial"/>
                <w:b w:val="false"/>
                <w:bCs w:val="false"/>
                <w:i w:val="false"/>
                <w:iCs w:val="false"/>
                <w:color w:val="334155"/>
                <w:sz w:val="19"/>
                <w:szCs w:val="19"/>
              </w:rPr>
              <w:t xml:space="preserve">Une adresse IPv4 comporte quatre blocs. Chaque bloc peut prendre une valeur de 0 à 255, soit 256 valeurs possibles.</w:t>
            </w:r>
          </w:p>
          <w:p>
            <w:pPr>
              <w:spacing w:after="60" w:before="0"/>
              <w:jc w:val="left"/>
            </w:pPr>
            <w:r>
              <w:rPr>
                <w:rFonts w:ascii="Arial" w:cs="Arial" w:eastAsia="Arial" w:hAnsi="Arial"/>
                <w:b w:val="false"/>
                <w:bCs w:val="false"/>
                <w:i w:val="false"/>
                <w:iCs w:val="false"/>
                <w:color w:val="334155"/>
                <w:sz w:val="19"/>
                <w:szCs w:val="19"/>
              </w:rPr>
              <w:t xml:space="preserve">Le nombre total d’adresses différentes vaut donc  256 x 256 x 256 x 256.</w:t>
            </w:r>
          </w:p>
          <w:p>
            <w:pPr>
              <w:spacing w:after="0" w:before="0"/>
              <w:jc w:val="left"/>
            </w:pPr>
            <w:r>
              <w:rPr>
                <w:rFonts w:ascii="Arial" w:cs="Arial" w:eastAsia="Arial" w:hAnsi="Arial"/>
                <w:b w:val="false"/>
                <w:bCs w:val="false"/>
                <w:i w:val="false"/>
                <w:iCs w:val="false"/>
                <w:color w:val="334155"/>
                <w:sz w:val="19"/>
                <w:szCs w:val="19"/>
              </w:rPr>
              <w:t xml:space="preserve">Pour comparaison : la population mondiale approche les 8 milliards d’habitants, et le nombre d’objets connectés dans le monde dépasse largement le nombre d’êtres humains, en comptant les téléphones, les ordinateurs, les téléviseurs, les caméras et les capteurs.</w:t>
            </w:r>
          </w:p>
        </w:tc>
      </w:tr>
    </w:tbl>
    <w:p>
      <w:pPr>
        <w:spacing w:after="8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6266"/>
        <w:gridCol w:w="4200"/>
      </w:tblGrid>
      <w:tr>
        <w:tc>
          <w:tcPr>
            <w:tcW w:type="dxa" w:w="6266"/>
            <w:tcBorders>
              <w:top w:val="single" w:color="cbd5e1" w:sz="4"/>
              <w:left w:val="single" w:color="cbd5e1" w:sz="4"/>
              <w:bottom w:val="single" w:color="cbd5e1" w:sz="4"/>
              <w:right w:val="single" w:color="cbd5e1" w:sz="4"/>
            </w:tcBorders>
            <w:shd w:fill="f5f3ff" w:color="auto" w:val="clear"/>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1e293b"/>
                <w:sz w:val="19"/>
                <w:szCs w:val="19"/>
              </w:rPr>
              <w:t xml:space="preserve">Question</w:t>
            </w:r>
          </w:p>
        </w:tc>
        <w:tc>
          <w:tcPr>
            <w:tcW w:type="dxa" w:w="4200"/>
            <w:tcBorders>
              <w:top w:val="single" w:color="cbd5e1" w:sz="4"/>
              <w:left w:val="single" w:color="cbd5e1" w:sz="4"/>
              <w:bottom w:val="single" w:color="cbd5e1" w:sz="4"/>
              <w:right w:val="single" w:color="cbd5e1" w:sz="4"/>
            </w:tcBorders>
            <w:shd w:fill="f5f3ff" w:color="auto" w:val="clear"/>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1e293b"/>
                <w:sz w:val="19"/>
                <w:szCs w:val="19"/>
              </w:rPr>
              <w:t xml:space="preserve">Ta réponse</w:t>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Calcule 256 x 256 x 256 x 256. Écris le résultat en toutes lettres et en milliards.</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Compare ce nombre à la population mondiale. Y a-t-il assez d’adresses pour un appareil par personne ?</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Chaque foyer possède souvent plusieurs appareils connectés. Estime le nombre d’appareils chez toi, puis multiplie par le nombre de foyers d’une ville de 100 000 habitants.</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Une adresse IPv6 s’écrit sur 128 bits au lieu de 32. À ton avis, pourquoi a-t-il fallu créer ce nouveau format ?</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single" w:color="cbd5e1" w:sz="4"/>
              <w:left w:val="single" w:color="cbd5e1" w:sz="4"/>
              <w:bottom w:val="single" w:color="cbd5e1" w:sz="4"/>
              <w:right w:val="single" w:color="cbd5e1" w:sz="4"/>
            </w:tcBorders>
            <w:shd w:fill="ede9fe" w:color="auto" w:val="clear"/>
            <w:tcMar>
              <w:top w:type="dxa" w:w="90"/>
              <w:left w:type="dxa" w:w="100"/>
              <w:bottom w:type="dxa" w:w="90"/>
              <w:right w:type="dxa" w:w="100"/>
            </w:tcMar>
            <w:vAlign w:val="center"/>
          </w:tcPr>
          <w:p>
            <w:pPr>
              <w:spacing w:after="60" w:before="0"/>
              <w:jc w:val="left"/>
            </w:pPr>
            <w:r>
              <w:rPr>
                <w:rFonts w:ascii="Arial" w:cs="Arial" w:eastAsia="Arial" w:hAnsi="Arial"/>
                <w:b/>
                <w:bCs/>
                <w:i w:val="false"/>
                <w:iCs w:val="false"/>
                <w:color w:val="7c3aed"/>
                <w:sz w:val="20"/>
                <w:szCs w:val="20"/>
              </w:rPr>
              <w:t xml:space="preserve">Le savais-tu ?</w:t>
            </w:r>
          </w:p>
          <w:p>
            <w:pPr>
              <w:spacing w:after="60" w:before="0"/>
              <w:jc w:val="left"/>
            </w:pPr>
            <w:r>
              <w:rPr>
                <w:rFonts w:ascii="Arial" w:cs="Arial" w:eastAsia="Arial" w:hAnsi="Arial"/>
                <w:b w:val="false"/>
                <w:bCs w:val="false"/>
                <w:i w:val="false"/>
                <w:iCs w:val="false"/>
                <w:color w:val="334155"/>
                <w:sz w:val="19"/>
                <w:szCs w:val="19"/>
              </w:rPr>
              <w:t xml:space="preserve">Il existe seulement 13 adresses de serveurs racine dans le monde entier. Mais derrière ces 13 adresses se cachent plusieurs centaines de machines réelles, réparties sur tous les continents. Quand un résolveur interroge « le » serveur racine, il atteint en réalité la machine la plus proche de lui.</w:t>
            </w:r>
          </w:p>
          <w:p>
            <w:pPr>
              <w:spacing w:after="0" w:before="0"/>
              <w:jc w:val="left"/>
            </w:pPr>
            <w:r>
              <w:rPr>
                <w:rFonts w:ascii="Arial" w:cs="Arial" w:eastAsia="Arial" w:hAnsi="Arial"/>
                <w:b w:val="false"/>
                <w:bCs w:val="false"/>
                <w:i/>
                <w:iCs/>
                <w:color w:val="334155"/>
                <w:sz w:val="19"/>
                <w:szCs w:val="19"/>
              </w:rPr>
              <w:t xml:space="preserve">C’est exactement ce que veut dire le programme officiel quand il indique que le DNS est réalisé par un grand nombre d’ordinateurs répartis sur le réseau et constamment mis à jour.</w:t>
            </w:r>
          </w:p>
        </w:tc>
      </w:tr>
    </w:tbl>
    <w:p>
      <w:pPr>
        <w:spacing w:after="120" w:before="280"/>
      </w:pPr>
      <w:r>
        <w:rPr>
          <w:rFonts w:ascii="Arial" w:cs="Arial" w:eastAsia="Arial" w:hAnsi="Arial"/>
          <w:b/>
          <w:bCs/>
          <w:i w:val="false"/>
          <w:iCs w:val="false"/>
          <w:color w:val="8b5cf6"/>
          <w:sz w:val="22"/>
          <w:szCs w:val="22"/>
        </w:rPr>
        <w:t xml:space="preserve">PARTIE 3 — QUI DÉCIDE DES NOMS DE DOMAINE ?</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single" w:color="cbd5e1" w:sz="4"/>
              <w:left w:val="single" w:color="cbd5e1" w:sz="4"/>
              <w:bottom w:val="single" w:color="cbd5e1" w:sz="4"/>
              <w:right w:val="single" w:color="cbd5e1" w:sz="4"/>
            </w:tcBorders>
            <w:shd w:fill="f8fafc" w:color="auto" w:val="clear"/>
            <w:tcMar>
              <w:top w:type="dxa" w:w="90"/>
              <w:left w:type="dxa" w:w="100"/>
              <w:bottom w:type="dxa" w:w="90"/>
              <w:right w:type="dxa" w:w="100"/>
            </w:tcMar>
            <w:vAlign w:val="center"/>
          </w:tcPr>
          <w:p>
            <w:pPr>
              <w:spacing w:after="80" w:before="0"/>
              <w:jc w:val="left"/>
            </w:pPr>
            <w:r>
              <w:rPr>
                <w:rFonts w:ascii="Arial" w:cs="Arial" w:eastAsia="Arial" w:hAnsi="Arial"/>
                <w:b/>
                <w:bCs/>
                <w:i w:val="false"/>
                <w:iCs w:val="false"/>
                <w:color w:val="8b5cf6"/>
                <w:sz w:val="21"/>
                <w:szCs w:val="21"/>
              </w:rPr>
              <w:t xml:space="preserve">Qui décide des noms de domaine ?</w:t>
            </w:r>
          </w:p>
          <w:p>
            <w:pPr>
              <w:spacing w:after="60" w:before="0"/>
              <w:jc w:val="left"/>
            </w:pPr>
            <w:r>
              <w:rPr>
                <w:rFonts w:ascii="Arial" w:cs="Arial" w:eastAsia="Arial" w:hAnsi="Arial"/>
                <w:b w:val="false"/>
                <w:bCs w:val="false"/>
                <w:i w:val="false"/>
                <w:iCs w:val="false"/>
                <w:color w:val="334155"/>
                <w:sz w:val="19"/>
                <w:szCs w:val="19"/>
              </w:rPr>
              <w:t xml:space="preserve">Un nom de domaine ne s’invente pas librement : il se réserve, et il se paie. Au niveau mondial, une organisation appelée ICANN coordonne l’attribution des noms et des adresses. Pour l’extension .fr, c’est l’AFNIC, une association française, qui tient le registre.</w:t>
            </w:r>
          </w:p>
          <w:p>
            <w:pPr>
              <w:spacing w:after="60" w:before="0"/>
              <w:jc w:val="left"/>
            </w:pPr>
            <w:r>
              <w:rPr>
                <w:rFonts w:ascii="Arial" w:cs="Arial" w:eastAsia="Arial" w:hAnsi="Arial"/>
                <w:b w:val="false"/>
                <w:bCs w:val="false"/>
                <w:i w:val="false"/>
                <w:iCs w:val="false"/>
                <w:color w:val="334155"/>
                <w:sz w:val="19"/>
                <w:szCs w:val="19"/>
              </w:rPr>
              <w:t xml:space="preserve">Réserver un nom coûte quelques euros par an et se renouvelle. Si le propriétaire oublie de renouveler, le nom redevient disponible pour quelqu’un d’autre.</w:t>
            </w:r>
          </w:p>
          <w:p>
            <w:pPr>
              <w:spacing w:after="0" w:before="0"/>
              <w:jc w:val="left"/>
            </w:pPr>
            <w:r>
              <w:rPr>
                <w:rFonts w:ascii="Arial" w:cs="Arial" w:eastAsia="Arial" w:hAnsi="Arial"/>
                <w:b w:val="false"/>
                <w:bCs w:val="false"/>
                <w:i w:val="false"/>
                <w:iCs w:val="false"/>
                <w:color w:val="334155"/>
                <w:sz w:val="19"/>
                <w:szCs w:val="19"/>
              </w:rPr>
              <w:t xml:space="preserve">Certaines personnes réservent des noms proches de marques connues, dans l’espoir de les revendre cher ou de capter des visiteurs qui se trompent en tapant l’adresse. Cette pratique porte un nom : le cybersquattage. Elle est encadrée par la loi et donne lieu à des procédures d’arbitrage.</w:t>
            </w:r>
          </w:p>
        </w:tc>
      </w:tr>
    </w:tbl>
    <w:p>
      <w:pPr>
        <w:spacing w:after="8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6266"/>
        <w:gridCol w:w="4200"/>
      </w:tblGrid>
      <w:tr>
        <w:tc>
          <w:tcPr>
            <w:tcW w:type="dxa" w:w="6266"/>
            <w:tcBorders>
              <w:top w:val="single" w:color="cbd5e1" w:sz="4"/>
              <w:left w:val="single" w:color="cbd5e1" w:sz="4"/>
              <w:bottom w:val="single" w:color="cbd5e1" w:sz="4"/>
              <w:right w:val="single" w:color="cbd5e1" w:sz="4"/>
            </w:tcBorders>
            <w:shd w:fill="f5f3ff" w:color="auto" w:val="clear"/>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1e293b"/>
                <w:sz w:val="19"/>
                <w:szCs w:val="19"/>
              </w:rPr>
              <w:t xml:space="preserve">Question</w:t>
            </w:r>
          </w:p>
        </w:tc>
        <w:tc>
          <w:tcPr>
            <w:tcW w:type="dxa" w:w="4200"/>
            <w:tcBorders>
              <w:top w:val="single" w:color="cbd5e1" w:sz="4"/>
              <w:left w:val="single" w:color="cbd5e1" w:sz="4"/>
              <w:bottom w:val="single" w:color="cbd5e1" w:sz="4"/>
              <w:right w:val="single" w:color="cbd5e1" w:sz="4"/>
            </w:tcBorders>
            <w:shd w:fill="f5f3ff" w:color="auto" w:val="clear"/>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1e293b"/>
                <w:sz w:val="19"/>
                <w:szCs w:val="19"/>
              </w:rPr>
              <w:t xml:space="preserve">Ta réponse</w:t>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Rends-toi sur www.afnic.fr. Combien de noms de domaine en .fr sont actuellement enregistrés ?</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Cherche le prix annuel moyen d’un nom de domaine en .fr.</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Cite trois extensions autres que .fr et .com, et indique à quoi chacune correspond.</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Explique avec tes propres mots ce qu’est le cybersquattage.</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Un nom de domaine appartient-il définitivement à celui qui l’a réservé ? Justifie ta réponse.</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bl>
    <w:p>
      <w:pPr>
        <w:spacing w:after="120" w:before="280"/>
      </w:pPr>
      <w:r>
        <w:rPr>
          <w:rFonts w:ascii="Arial" w:cs="Arial" w:eastAsia="Arial" w:hAnsi="Arial"/>
          <w:b/>
          <w:bCs/>
          <w:i w:val="false"/>
          <w:iCs w:val="false"/>
          <w:color w:val="8b5cf6"/>
          <w:sz w:val="22"/>
          <w:szCs w:val="22"/>
        </w:rPr>
        <w:t xml:space="preserve">POUR ALLER PLUS LOIN</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3600"/>
        <w:gridCol w:w="6866"/>
      </w:tblGrid>
      <w:tr>
        <w:tc>
          <w:tcPr>
            <w:tcW w:type="dxa" w:w="3600"/>
            <w:tcBorders>
              <w:top w:val="single" w:color="cbd5e1" w:sz="4"/>
              <w:left w:val="single" w:color="cbd5e1" w:sz="4"/>
              <w:bottom w:val="single" w:color="cbd5e1" w:sz="4"/>
              <w:right w:val="single" w:color="cbd5e1" w:sz="4"/>
            </w:tcBorders>
            <w:shd w:fill="f5f3ff" w:color="auto" w:val="clear"/>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1e293b"/>
                <w:sz w:val="19"/>
                <w:szCs w:val="19"/>
              </w:rPr>
              <w:t xml:space="preserve">Ressource</w:t>
            </w:r>
          </w:p>
        </w:tc>
        <w:tc>
          <w:tcPr>
            <w:tcW w:type="dxa" w:w="6866"/>
            <w:tcBorders>
              <w:top w:val="single" w:color="cbd5e1" w:sz="4"/>
              <w:left w:val="single" w:color="cbd5e1" w:sz="4"/>
              <w:bottom w:val="single" w:color="cbd5e1" w:sz="4"/>
              <w:right w:val="single" w:color="cbd5e1" w:sz="4"/>
            </w:tcBorders>
            <w:shd w:fill="f5f3ff" w:color="auto" w:val="clear"/>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1e293b"/>
                <w:sz w:val="19"/>
                <w:szCs w:val="19"/>
              </w:rPr>
              <w:t xml:space="preserve">Lien et description</w:t>
            </w:r>
          </w:p>
        </w:tc>
      </w:tr>
      <w:tr>
        <w:tc>
          <w:tcPr>
            <w:tcW w:type="dxa" w:w="36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334155"/>
                <w:sz w:val="19"/>
                <w:szCs w:val="19"/>
              </w:rPr>
              <w:t xml:space="preserve">AFNIC</w:t>
            </w:r>
          </w:p>
        </w:tc>
        <w:tc>
          <w:tcPr>
            <w:tcW w:type="dxa" w:w="68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www.afnic.fr — registre du .fr : statistiques, fonctionnement de l’attribution, ressources pédagogiques.</w:t>
            </w:r>
          </w:p>
        </w:tc>
      </w:tr>
      <w:tr>
        <w:tc>
          <w:tcPr>
            <w:tcW w:type="dxa" w:w="36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334155"/>
                <w:sz w:val="19"/>
                <w:szCs w:val="19"/>
              </w:rPr>
              <w:t xml:space="preserve">Serveurs racine</w:t>
            </w:r>
          </w:p>
        </w:tc>
        <w:tc>
          <w:tcPr>
            <w:tcW w:type="dxa" w:w="68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root-servers.org — carte mondiale des machines qui répondent derrière les 13 adresses racine.</w:t>
            </w:r>
          </w:p>
        </w:tc>
      </w:tr>
      <w:tr>
        <w:tc>
          <w:tcPr>
            <w:tcW w:type="dxa" w:w="36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334155"/>
                <w:sz w:val="19"/>
                <w:szCs w:val="19"/>
              </w:rPr>
              <w:t xml:space="preserve">Interstices</w:t>
            </w:r>
          </w:p>
        </w:tc>
        <w:tc>
          <w:tcPr>
            <w:tcW w:type="dxa" w:w="68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interstices.info — revue de vulgarisation de l’Inria : articles accessibles sur le nommage et le routage.</w:t>
            </w:r>
          </w:p>
        </w:tc>
      </w:tr>
      <w:tr>
        <w:tc>
          <w:tcPr>
            <w:tcW w:type="dxa" w:w="36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334155"/>
                <w:sz w:val="19"/>
                <w:szCs w:val="19"/>
              </w:rPr>
              <w:t xml:space="preserve">Statistiques mondiales</w:t>
            </w:r>
          </w:p>
        </w:tc>
        <w:tc>
          <w:tcPr>
            <w:tcW w:type="dxa" w:w="68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www.itu.int — Union internationale des télécommunications : chiffres officiels de la connectivité.</w:t>
            </w:r>
          </w:p>
        </w:tc>
      </w:tr>
    </w:tbl>
    <w:sectPr>
      <w:footerReference w:type="default" r:id="rId7"/>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b w:val="false"/>
        <w:bCs w:val="false"/>
        <w:i w:val="false"/>
        <w:iCs w:val="false"/>
        <w:color w:val="94a3b8"/>
        <w:sz w:val="16"/>
        <w:szCs w:val="16"/>
      </w:rPr>
      <w:t xml:space="preserve">monprofdetechnologie.fr  --  Activité bonus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2026-09-01T03:05:50.624Z</dcterms:created>
  <dcterms:modified xsi:type="dcterms:W3CDTF">2026-09-01T03:05:50.624Z</dcterms:modified>
</cp:coreProperties>
</file>

<file path=docProps/custom.xml><?xml version="1.0" encoding="utf-8"?>
<Properties xmlns="http://schemas.openxmlformats.org/officeDocument/2006/custom-properties" xmlns:vt="http://schemas.openxmlformats.org/officeDocument/2006/docPropsVTypes"/>
</file>